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5E" w:rsidRPr="00F3704E" w:rsidRDefault="00D6535E" w:rsidP="00D6535E">
      <w:pPr>
        <w:tabs>
          <w:tab w:val="left" w:pos="1530"/>
          <w:tab w:val="left" w:pos="2160"/>
          <w:tab w:val="left" w:pos="3326"/>
          <w:tab w:val="left" w:pos="3960"/>
          <w:tab w:val="left" w:pos="5126"/>
          <w:tab w:val="left" w:pos="7027"/>
        </w:tabs>
        <w:jc w:val="both"/>
        <w:rPr>
          <w:rFonts w:ascii="Arial" w:hAnsi="Arial" w:cs="Arial"/>
          <w:b/>
          <w:bCs/>
          <w:sz w:val="36"/>
          <w:szCs w:val="36"/>
        </w:rPr>
      </w:pPr>
      <w:r w:rsidRPr="00F3704E">
        <w:rPr>
          <w:rFonts w:ascii="Arial" w:hAnsi="Arial" w:cs="Arial"/>
          <w:b/>
          <w:bCs/>
        </w:rPr>
        <w:t>Rother District Council</w:t>
      </w:r>
      <w:r w:rsidRPr="00F3704E">
        <w:rPr>
          <w:rFonts w:ascii="Arial" w:hAnsi="Arial" w:cs="Arial"/>
          <w:b/>
          <w:bCs/>
        </w:rPr>
        <w:tab/>
      </w:r>
      <w:r w:rsidRPr="00F3704E">
        <w:rPr>
          <w:rFonts w:ascii="Arial" w:hAnsi="Arial" w:cs="Arial"/>
          <w:b/>
          <w:bCs/>
        </w:rPr>
        <w:tab/>
      </w:r>
      <w:r>
        <w:rPr>
          <w:rFonts w:ascii="Arial" w:hAnsi="Arial" w:cs="Arial"/>
          <w:b/>
          <w:bCs/>
        </w:rPr>
        <w:tab/>
        <w:t xml:space="preserve">                           </w:t>
      </w:r>
      <w:r w:rsidRPr="00F3704E">
        <w:rPr>
          <w:rFonts w:ascii="Arial" w:hAnsi="Arial" w:cs="Arial"/>
          <w:b/>
          <w:bCs/>
        </w:rPr>
        <w:t xml:space="preserve">Agenda Item: </w:t>
      </w:r>
      <w:r>
        <w:rPr>
          <w:rFonts w:ascii="Arial" w:hAnsi="Arial" w:cs="Arial"/>
          <w:b/>
          <w:bCs/>
          <w:sz w:val="36"/>
        </w:rPr>
        <w:t>xx</w:t>
      </w:r>
    </w:p>
    <w:p w:rsidR="00D6535E" w:rsidRPr="00F3704E" w:rsidRDefault="00D6535E" w:rsidP="00D6535E">
      <w:pPr>
        <w:tabs>
          <w:tab w:val="left" w:pos="1530"/>
          <w:tab w:val="left" w:pos="2160"/>
          <w:tab w:val="left" w:pos="3326"/>
          <w:tab w:val="left" w:pos="5126"/>
          <w:tab w:val="left" w:pos="7027"/>
        </w:tabs>
        <w:jc w:val="both"/>
        <w:rPr>
          <w:rFonts w:ascii="Arial" w:hAnsi="Arial" w:cs="Arial"/>
        </w:rPr>
      </w:pPr>
    </w:p>
    <w:p w:rsidR="00D6535E" w:rsidRPr="00F3704E" w:rsidRDefault="00D6535E" w:rsidP="00D6535E">
      <w:pPr>
        <w:pStyle w:val="Heading4"/>
        <w:tabs>
          <w:tab w:val="left" w:pos="2160"/>
          <w:tab w:val="left" w:pos="2880"/>
        </w:tabs>
        <w:spacing w:before="0" w:after="0" w:line="360" w:lineRule="auto"/>
        <w:rPr>
          <w:rFonts w:ascii="Arial" w:hAnsi="Arial" w:cs="Arial"/>
          <w:b w:val="0"/>
          <w:bCs w:val="0"/>
          <w:sz w:val="24"/>
          <w:szCs w:val="24"/>
        </w:rPr>
      </w:pPr>
      <w:r w:rsidRPr="00F3704E">
        <w:rPr>
          <w:rFonts w:ascii="Arial" w:hAnsi="Arial" w:cs="Arial"/>
          <w:b w:val="0"/>
          <w:bCs w:val="0"/>
          <w:sz w:val="24"/>
          <w:szCs w:val="24"/>
        </w:rPr>
        <w:t>Report to</w:t>
      </w:r>
      <w:r w:rsidRPr="00F3704E">
        <w:rPr>
          <w:rFonts w:ascii="Arial" w:hAnsi="Arial" w:cs="Arial"/>
          <w:b w:val="0"/>
          <w:bCs w:val="0"/>
          <w:sz w:val="24"/>
          <w:szCs w:val="24"/>
        </w:rPr>
        <w:tab/>
        <w:t>-</w:t>
      </w:r>
      <w:r w:rsidRPr="00F3704E">
        <w:rPr>
          <w:rFonts w:ascii="Arial" w:hAnsi="Arial" w:cs="Arial"/>
          <w:b w:val="0"/>
          <w:bCs w:val="0"/>
          <w:sz w:val="24"/>
          <w:szCs w:val="24"/>
        </w:rPr>
        <w:tab/>
        <w:t>Cabinet</w:t>
      </w:r>
    </w:p>
    <w:p w:rsidR="00D6535E" w:rsidRPr="00F3704E" w:rsidRDefault="00D6535E" w:rsidP="00D6535E">
      <w:pPr>
        <w:pStyle w:val="Heading4"/>
        <w:tabs>
          <w:tab w:val="left" w:pos="2160"/>
          <w:tab w:val="left" w:pos="2880"/>
        </w:tabs>
        <w:spacing w:before="0" w:after="0" w:line="360" w:lineRule="auto"/>
        <w:rPr>
          <w:rFonts w:ascii="Arial" w:hAnsi="Arial" w:cs="Arial"/>
          <w:b w:val="0"/>
          <w:bCs w:val="0"/>
          <w:sz w:val="24"/>
          <w:szCs w:val="24"/>
        </w:rPr>
      </w:pPr>
      <w:r w:rsidRPr="00F3704E">
        <w:rPr>
          <w:rFonts w:ascii="Arial" w:hAnsi="Arial" w:cs="Arial"/>
          <w:b w:val="0"/>
          <w:bCs w:val="0"/>
          <w:sz w:val="24"/>
          <w:szCs w:val="24"/>
        </w:rPr>
        <w:t>Date</w:t>
      </w:r>
      <w:r w:rsidRPr="00F3704E">
        <w:rPr>
          <w:rFonts w:ascii="Arial" w:hAnsi="Arial" w:cs="Arial"/>
          <w:b w:val="0"/>
          <w:bCs w:val="0"/>
          <w:sz w:val="24"/>
          <w:szCs w:val="24"/>
        </w:rPr>
        <w:tab/>
        <w:t>-</w:t>
      </w:r>
      <w:r w:rsidRPr="00F3704E">
        <w:rPr>
          <w:rFonts w:ascii="Arial" w:hAnsi="Arial" w:cs="Arial"/>
          <w:b w:val="0"/>
          <w:bCs w:val="0"/>
          <w:sz w:val="24"/>
          <w:szCs w:val="24"/>
        </w:rPr>
        <w:tab/>
      </w:r>
      <w:r>
        <w:rPr>
          <w:rFonts w:ascii="Arial" w:hAnsi="Arial" w:cs="Arial"/>
          <w:b w:val="0"/>
          <w:bCs w:val="0"/>
          <w:sz w:val="24"/>
          <w:szCs w:val="24"/>
        </w:rPr>
        <w:t>15 February 2016</w:t>
      </w:r>
    </w:p>
    <w:p w:rsidR="00D6535E" w:rsidRPr="00F3704E" w:rsidRDefault="00D6535E" w:rsidP="00D6535E">
      <w:pPr>
        <w:pStyle w:val="Heading4"/>
        <w:tabs>
          <w:tab w:val="left" w:pos="2160"/>
          <w:tab w:val="left" w:pos="2880"/>
        </w:tabs>
        <w:spacing w:before="0" w:after="0" w:line="360" w:lineRule="auto"/>
        <w:rPr>
          <w:rFonts w:ascii="Arial" w:hAnsi="Arial" w:cs="Arial"/>
          <w:b w:val="0"/>
          <w:bCs w:val="0"/>
          <w:sz w:val="24"/>
          <w:szCs w:val="24"/>
        </w:rPr>
      </w:pPr>
      <w:r w:rsidRPr="00F3704E">
        <w:rPr>
          <w:rFonts w:ascii="Arial" w:hAnsi="Arial" w:cs="Arial"/>
          <w:b w:val="0"/>
          <w:bCs w:val="0"/>
          <w:sz w:val="24"/>
          <w:szCs w:val="24"/>
        </w:rPr>
        <w:t>Report of the</w:t>
      </w:r>
      <w:r w:rsidRPr="00F3704E">
        <w:rPr>
          <w:rFonts w:ascii="Arial" w:hAnsi="Arial" w:cs="Arial"/>
          <w:b w:val="0"/>
          <w:bCs w:val="0"/>
          <w:sz w:val="24"/>
          <w:szCs w:val="24"/>
        </w:rPr>
        <w:tab/>
        <w:t>-</w:t>
      </w:r>
      <w:r w:rsidRPr="00F3704E">
        <w:rPr>
          <w:rFonts w:ascii="Arial" w:hAnsi="Arial" w:cs="Arial"/>
          <w:b w:val="0"/>
          <w:bCs w:val="0"/>
          <w:sz w:val="24"/>
          <w:szCs w:val="24"/>
        </w:rPr>
        <w:tab/>
      </w:r>
      <w:r>
        <w:rPr>
          <w:rFonts w:ascii="Arial" w:hAnsi="Arial" w:cs="Arial"/>
          <w:b w:val="0"/>
          <w:bCs w:val="0"/>
          <w:sz w:val="24"/>
          <w:szCs w:val="24"/>
        </w:rPr>
        <w:t xml:space="preserve">Executive </w:t>
      </w:r>
      <w:r w:rsidRPr="00F3704E">
        <w:rPr>
          <w:rFonts w:ascii="Arial" w:hAnsi="Arial" w:cs="Arial"/>
          <w:b w:val="0"/>
          <w:bCs w:val="0"/>
          <w:sz w:val="24"/>
          <w:szCs w:val="24"/>
        </w:rPr>
        <w:t>Director of Resources</w:t>
      </w:r>
    </w:p>
    <w:p w:rsidR="00D6535E" w:rsidRPr="00F3704E" w:rsidRDefault="00D6535E" w:rsidP="00D6535E">
      <w:pPr>
        <w:pStyle w:val="Heading4"/>
        <w:tabs>
          <w:tab w:val="left" w:pos="2160"/>
          <w:tab w:val="left" w:pos="2880"/>
        </w:tabs>
        <w:spacing w:before="0" w:after="0"/>
        <w:ind w:left="2880" w:hanging="2880"/>
        <w:rPr>
          <w:rFonts w:ascii="Arial" w:hAnsi="Arial" w:cs="Arial"/>
          <w:b w:val="0"/>
          <w:bCs w:val="0"/>
          <w:sz w:val="24"/>
          <w:szCs w:val="24"/>
        </w:rPr>
      </w:pPr>
      <w:r w:rsidRPr="00F3704E">
        <w:rPr>
          <w:rFonts w:ascii="Arial" w:hAnsi="Arial" w:cs="Arial"/>
          <w:b w:val="0"/>
          <w:bCs w:val="0"/>
          <w:sz w:val="24"/>
          <w:szCs w:val="24"/>
        </w:rPr>
        <w:t>Subject</w:t>
      </w:r>
      <w:r w:rsidRPr="00F3704E">
        <w:rPr>
          <w:rFonts w:ascii="Arial" w:hAnsi="Arial" w:cs="Arial"/>
          <w:sz w:val="24"/>
          <w:szCs w:val="24"/>
        </w:rPr>
        <w:tab/>
      </w:r>
      <w:r w:rsidRPr="00F3704E">
        <w:rPr>
          <w:rFonts w:ascii="Arial" w:hAnsi="Arial" w:cs="Arial"/>
          <w:b w:val="0"/>
          <w:bCs w:val="0"/>
          <w:sz w:val="24"/>
          <w:szCs w:val="24"/>
        </w:rPr>
        <w:t>-</w:t>
      </w:r>
      <w:r w:rsidRPr="00F3704E">
        <w:rPr>
          <w:rFonts w:ascii="Arial" w:hAnsi="Arial" w:cs="Arial"/>
          <w:sz w:val="24"/>
          <w:szCs w:val="24"/>
        </w:rPr>
        <w:tab/>
      </w:r>
      <w:r w:rsidRPr="00F3704E">
        <w:rPr>
          <w:rFonts w:ascii="Arial" w:hAnsi="Arial" w:cs="Arial"/>
          <w:b w:val="0"/>
          <w:bCs w:val="0"/>
          <w:sz w:val="24"/>
          <w:szCs w:val="24"/>
        </w:rPr>
        <w:t xml:space="preserve">Treasury </w:t>
      </w:r>
      <w:r>
        <w:rPr>
          <w:rFonts w:ascii="Arial" w:hAnsi="Arial" w:cs="Arial"/>
          <w:b w:val="0"/>
          <w:bCs w:val="0"/>
          <w:sz w:val="24"/>
          <w:szCs w:val="24"/>
        </w:rPr>
        <w:t xml:space="preserve">Management </w:t>
      </w:r>
      <w:r w:rsidRPr="00F3704E">
        <w:rPr>
          <w:rFonts w:ascii="Arial" w:hAnsi="Arial" w:cs="Arial"/>
          <w:b w:val="0"/>
          <w:bCs w:val="0"/>
          <w:sz w:val="24"/>
          <w:szCs w:val="24"/>
        </w:rPr>
        <w:t xml:space="preserve">Strategy Statement and Annual Investment Strategy </w:t>
      </w:r>
    </w:p>
    <w:p w:rsidR="00D6535E" w:rsidRPr="00F3704E" w:rsidRDefault="00D6535E" w:rsidP="00D6535E"/>
    <w:p w:rsidR="00D6535E" w:rsidRPr="00F3704E" w:rsidRDefault="00D6535E" w:rsidP="00D6535E">
      <w:pPr>
        <w:tabs>
          <w:tab w:val="left" w:pos="1530"/>
          <w:tab w:val="left" w:pos="2160"/>
          <w:tab w:val="left" w:pos="3326"/>
          <w:tab w:val="left" w:pos="5126"/>
          <w:tab w:val="left" w:pos="7027"/>
        </w:tabs>
        <w:spacing w:line="19" w:lineRule="exact"/>
        <w:jc w:val="both"/>
        <w:rPr>
          <w:rFonts w:ascii="Arial" w:hAnsi="Arial" w:cs="Arial"/>
        </w:rPr>
      </w:pPr>
    </w:p>
    <w:p w:rsidR="00D6535E" w:rsidRPr="00F3704E" w:rsidRDefault="00D6535E" w:rsidP="00D6535E">
      <w:pPr>
        <w:pBdr>
          <w:top w:val="single" w:sz="4" w:space="1" w:color="auto"/>
        </w:pBdr>
        <w:tabs>
          <w:tab w:val="left" w:pos="1530"/>
          <w:tab w:val="left" w:pos="2160"/>
          <w:tab w:val="left" w:pos="3326"/>
          <w:tab w:val="left" w:pos="5126"/>
          <w:tab w:val="left" w:pos="7027"/>
        </w:tabs>
        <w:jc w:val="both"/>
        <w:rPr>
          <w:rFonts w:ascii="Arial" w:hAnsi="Arial" w:cs="Arial"/>
          <w:sz w:val="20"/>
          <w:szCs w:val="20"/>
        </w:rPr>
      </w:pPr>
    </w:p>
    <w:p w:rsidR="00D6535E" w:rsidRPr="00F3704E" w:rsidRDefault="00D6535E" w:rsidP="00D6535E">
      <w:pPr>
        <w:pBdr>
          <w:top w:val="single" w:sz="4" w:space="1" w:color="auto"/>
        </w:pBdr>
        <w:tabs>
          <w:tab w:val="left" w:pos="0"/>
          <w:tab w:val="left" w:pos="1080"/>
          <w:tab w:val="left" w:pos="3600"/>
        </w:tabs>
        <w:jc w:val="both"/>
        <w:rPr>
          <w:rFonts w:ascii="Arial" w:hAnsi="Arial" w:cs="Arial"/>
        </w:rPr>
      </w:pPr>
      <w:r w:rsidRPr="00F3704E">
        <w:rPr>
          <w:rFonts w:ascii="Arial" w:hAnsi="Arial" w:cs="Arial"/>
          <w:b/>
          <w:bCs/>
        </w:rPr>
        <w:t>Recommendation to COUNCIL:</w:t>
      </w:r>
      <w:r w:rsidRPr="00F3704E">
        <w:rPr>
          <w:rFonts w:ascii="Arial" w:hAnsi="Arial" w:cs="Arial"/>
        </w:rPr>
        <w:t xml:space="preserve"> That:</w:t>
      </w:r>
    </w:p>
    <w:p w:rsidR="00D6535E" w:rsidRPr="00F3704E" w:rsidRDefault="00D6535E" w:rsidP="00D6535E">
      <w:pPr>
        <w:tabs>
          <w:tab w:val="left" w:pos="0"/>
          <w:tab w:val="left" w:pos="1080"/>
          <w:tab w:val="left" w:pos="3600"/>
        </w:tabs>
        <w:jc w:val="both"/>
        <w:rPr>
          <w:rFonts w:ascii="Arial" w:hAnsi="Arial" w:cs="Arial"/>
          <w:i/>
          <w:iCs/>
        </w:rPr>
      </w:pPr>
    </w:p>
    <w:p w:rsidR="00D6535E" w:rsidRPr="00F3704E" w:rsidRDefault="00D6535E" w:rsidP="00D6535E">
      <w:pPr>
        <w:numPr>
          <w:ilvl w:val="0"/>
          <w:numId w:val="1"/>
        </w:numPr>
        <w:tabs>
          <w:tab w:val="left" w:pos="0"/>
          <w:tab w:val="left" w:pos="1080"/>
          <w:tab w:val="left" w:pos="3600"/>
        </w:tabs>
        <w:ind w:hanging="720"/>
        <w:jc w:val="both"/>
        <w:rPr>
          <w:rFonts w:ascii="Arial" w:hAnsi="Arial" w:cs="Arial"/>
        </w:rPr>
      </w:pPr>
      <w:r w:rsidRPr="00F3704E">
        <w:rPr>
          <w:rFonts w:ascii="Arial" w:hAnsi="Arial" w:cs="Arial"/>
        </w:rPr>
        <w:t>the Treasury Management Strategy as set out at Appendix A be approved;</w:t>
      </w:r>
    </w:p>
    <w:p w:rsidR="00D6535E" w:rsidRPr="00F3704E" w:rsidRDefault="00D6535E" w:rsidP="00D6535E">
      <w:pPr>
        <w:tabs>
          <w:tab w:val="left" w:pos="0"/>
          <w:tab w:val="left" w:pos="1080"/>
          <w:tab w:val="left" w:pos="3600"/>
        </w:tabs>
        <w:jc w:val="both"/>
        <w:rPr>
          <w:rFonts w:ascii="Arial" w:hAnsi="Arial" w:cs="Arial"/>
        </w:rPr>
      </w:pPr>
    </w:p>
    <w:p w:rsidR="00D6535E" w:rsidRPr="00F3704E" w:rsidRDefault="00D6535E" w:rsidP="00D6535E">
      <w:pPr>
        <w:numPr>
          <w:ilvl w:val="0"/>
          <w:numId w:val="1"/>
        </w:numPr>
        <w:tabs>
          <w:tab w:val="left" w:pos="0"/>
          <w:tab w:val="left" w:pos="1080"/>
          <w:tab w:val="left" w:pos="3600"/>
        </w:tabs>
        <w:ind w:hanging="720"/>
        <w:jc w:val="both"/>
        <w:rPr>
          <w:rFonts w:ascii="Arial" w:hAnsi="Arial" w:cs="Arial"/>
        </w:rPr>
      </w:pPr>
      <w:r w:rsidRPr="00F3704E">
        <w:rPr>
          <w:rFonts w:ascii="Arial" w:hAnsi="Arial" w:cs="Arial"/>
        </w:rPr>
        <w:t>the Minimum Revenue Provision Policy Statement 201</w:t>
      </w:r>
      <w:r>
        <w:rPr>
          <w:rFonts w:ascii="Arial" w:hAnsi="Arial" w:cs="Arial"/>
        </w:rPr>
        <w:t>6/17</w:t>
      </w:r>
      <w:r w:rsidRPr="00F3704E">
        <w:rPr>
          <w:rFonts w:ascii="Arial" w:hAnsi="Arial" w:cs="Arial"/>
        </w:rPr>
        <w:t xml:space="preserve"> shown at Appendix A</w:t>
      </w:r>
      <w:r>
        <w:rPr>
          <w:rFonts w:ascii="Arial" w:hAnsi="Arial" w:cs="Arial"/>
        </w:rPr>
        <w:t>,</w:t>
      </w:r>
      <w:r w:rsidRPr="00F3704E">
        <w:rPr>
          <w:rFonts w:ascii="Arial" w:hAnsi="Arial" w:cs="Arial"/>
        </w:rPr>
        <w:t xml:space="preserve"> be approved;</w:t>
      </w:r>
    </w:p>
    <w:p w:rsidR="00D6535E" w:rsidRPr="00F3704E" w:rsidRDefault="00D6535E" w:rsidP="00D6535E">
      <w:pPr>
        <w:tabs>
          <w:tab w:val="left" w:pos="0"/>
          <w:tab w:val="left" w:pos="1080"/>
          <w:tab w:val="left" w:pos="3600"/>
        </w:tabs>
        <w:jc w:val="both"/>
        <w:rPr>
          <w:rFonts w:ascii="Arial" w:hAnsi="Arial" w:cs="Arial"/>
        </w:rPr>
      </w:pPr>
    </w:p>
    <w:p w:rsidR="00D6535E" w:rsidRPr="00F3704E" w:rsidRDefault="00D6535E" w:rsidP="00D6535E">
      <w:pPr>
        <w:numPr>
          <w:ilvl w:val="0"/>
          <w:numId w:val="1"/>
        </w:numPr>
        <w:tabs>
          <w:tab w:val="left" w:pos="0"/>
          <w:tab w:val="left" w:pos="1080"/>
          <w:tab w:val="left" w:pos="3600"/>
        </w:tabs>
        <w:ind w:hanging="720"/>
        <w:jc w:val="both"/>
        <w:rPr>
          <w:rFonts w:ascii="Arial" w:hAnsi="Arial" w:cs="Arial"/>
        </w:rPr>
      </w:pPr>
      <w:r w:rsidRPr="00F3704E">
        <w:rPr>
          <w:rFonts w:ascii="Arial" w:hAnsi="Arial" w:cs="Arial"/>
        </w:rPr>
        <w:t xml:space="preserve">the Annual Investment Strategy for </w:t>
      </w:r>
      <w:r>
        <w:rPr>
          <w:rFonts w:ascii="Arial" w:hAnsi="Arial" w:cs="Arial"/>
        </w:rPr>
        <w:t>2016/17</w:t>
      </w:r>
      <w:r w:rsidRPr="00F3704E">
        <w:rPr>
          <w:rFonts w:ascii="Arial" w:hAnsi="Arial" w:cs="Arial"/>
        </w:rPr>
        <w:t xml:space="preserve"> as set out in Appendix B be approved, as submitted; </w:t>
      </w:r>
    </w:p>
    <w:p w:rsidR="00D6535E" w:rsidRPr="00F3704E" w:rsidRDefault="00D6535E" w:rsidP="00D6535E">
      <w:pPr>
        <w:tabs>
          <w:tab w:val="left" w:pos="0"/>
          <w:tab w:val="left" w:pos="1080"/>
          <w:tab w:val="left" w:pos="3600"/>
        </w:tabs>
        <w:jc w:val="both"/>
        <w:rPr>
          <w:rFonts w:ascii="Arial" w:hAnsi="Arial" w:cs="Arial"/>
        </w:rPr>
      </w:pPr>
    </w:p>
    <w:p w:rsidR="00D6535E" w:rsidRPr="00F3704E" w:rsidRDefault="00D6535E" w:rsidP="00D6535E">
      <w:pPr>
        <w:numPr>
          <w:ilvl w:val="0"/>
          <w:numId w:val="1"/>
        </w:numPr>
        <w:tabs>
          <w:tab w:val="left" w:pos="0"/>
          <w:tab w:val="left" w:pos="1080"/>
          <w:tab w:val="left" w:pos="3600"/>
        </w:tabs>
        <w:ind w:hanging="720"/>
        <w:jc w:val="both"/>
        <w:rPr>
          <w:rFonts w:ascii="Arial" w:hAnsi="Arial" w:cs="Arial"/>
        </w:rPr>
      </w:pPr>
      <w:r w:rsidRPr="00F3704E">
        <w:rPr>
          <w:rFonts w:ascii="Arial" w:hAnsi="Arial" w:cs="Arial"/>
        </w:rPr>
        <w:t>the specified and non-specified investment categories listed in Appendix 3 of the Annual Investment Strategy be approved; and</w:t>
      </w:r>
    </w:p>
    <w:p w:rsidR="00D6535E" w:rsidRPr="00F3704E" w:rsidRDefault="00D6535E" w:rsidP="00D6535E">
      <w:pPr>
        <w:tabs>
          <w:tab w:val="left" w:pos="0"/>
          <w:tab w:val="left" w:pos="1080"/>
          <w:tab w:val="left" w:pos="3600"/>
        </w:tabs>
        <w:jc w:val="both"/>
        <w:rPr>
          <w:rFonts w:ascii="Arial" w:hAnsi="Arial" w:cs="Arial"/>
        </w:rPr>
      </w:pPr>
    </w:p>
    <w:p w:rsidR="00D6535E" w:rsidRPr="00F3704E" w:rsidRDefault="00D6535E" w:rsidP="00D6535E">
      <w:pPr>
        <w:numPr>
          <w:ilvl w:val="0"/>
          <w:numId w:val="1"/>
        </w:numPr>
        <w:tabs>
          <w:tab w:val="left" w:pos="0"/>
          <w:tab w:val="left" w:pos="1080"/>
          <w:tab w:val="left" w:pos="3600"/>
        </w:tabs>
        <w:ind w:hanging="720"/>
        <w:jc w:val="both"/>
        <w:rPr>
          <w:rFonts w:ascii="Arial" w:hAnsi="Arial" w:cs="Arial"/>
        </w:rPr>
      </w:pPr>
      <w:proofErr w:type="gramStart"/>
      <w:r w:rsidRPr="00F3704E">
        <w:rPr>
          <w:rFonts w:ascii="Arial" w:hAnsi="Arial" w:cs="Arial"/>
        </w:rPr>
        <w:t>the</w:t>
      </w:r>
      <w:proofErr w:type="gramEnd"/>
      <w:r w:rsidRPr="00F3704E">
        <w:rPr>
          <w:rFonts w:ascii="Arial" w:hAnsi="Arial" w:cs="Arial"/>
        </w:rPr>
        <w:t xml:space="preserve"> Prudential and Treasury Indicators as set out in Appendix A</w:t>
      </w:r>
      <w:r>
        <w:rPr>
          <w:rFonts w:ascii="Arial" w:hAnsi="Arial" w:cs="Arial"/>
        </w:rPr>
        <w:t>,</w:t>
      </w:r>
      <w:r w:rsidRPr="00F3704E">
        <w:rPr>
          <w:rFonts w:ascii="Arial" w:hAnsi="Arial" w:cs="Arial"/>
        </w:rPr>
        <w:t xml:space="preserve"> be approved.</w:t>
      </w:r>
    </w:p>
    <w:p w:rsidR="00D6535E" w:rsidRPr="00F3704E" w:rsidRDefault="00D6535E" w:rsidP="00D6535E">
      <w:pPr>
        <w:tabs>
          <w:tab w:val="left" w:pos="540"/>
          <w:tab w:val="left" w:pos="1080"/>
          <w:tab w:val="left" w:pos="3600"/>
        </w:tabs>
        <w:jc w:val="both"/>
        <w:rPr>
          <w:rFonts w:ascii="Arial" w:hAnsi="Arial" w:cs="Arial"/>
          <w:sz w:val="20"/>
          <w:szCs w:val="20"/>
        </w:rPr>
      </w:pPr>
    </w:p>
    <w:p w:rsidR="00D6535E" w:rsidRPr="00F3704E" w:rsidRDefault="00D6535E" w:rsidP="00D6535E">
      <w:pPr>
        <w:pBdr>
          <w:top w:val="single" w:sz="4" w:space="1" w:color="auto"/>
        </w:pBdr>
        <w:tabs>
          <w:tab w:val="left" w:pos="540"/>
          <w:tab w:val="left" w:pos="1080"/>
          <w:tab w:val="left" w:pos="3600"/>
        </w:tabs>
        <w:jc w:val="both"/>
        <w:rPr>
          <w:rFonts w:ascii="Arial" w:hAnsi="Arial" w:cs="Arial"/>
          <w:b/>
          <w:bCs/>
          <w:sz w:val="20"/>
          <w:szCs w:val="20"/>
        </w:rPr>
      </w:pPr>
    </w:p>
    <w:p w:rsidR="00D6535E" w:rsidRPr="00F3704E" w:rsidRDefault="00D6535E" w:rsidP="00D6535E">
      <w:pPr>
        <w:tabs>
          <w:tab w:val="left" w:pos="540"/>
          <w:tab w:val="left" w:pos="1080"/>
          <w:tab w:val="left" w:pos="3600"/>
        </w:tabs>
        <w:jc w:val="both"/>
        <w:rPr>
          <w:rFonts w:ascii="Arial" w:hAnsi="Arial" w:cs="Arial"/>
        </w:rPr>
      </w:pPr>
      <w:r w:rsidRPr="00F3704E">
        <w:rPr>
          <w:rFonts w:ascii="Arial" w:hAnsi="Arial" w:cs="Arial"/>
          <w:b/>
          <w:bCs/>
        </w:rPr>
        <w:t>Service</w:t>
      </w:r>
      <w:r>
        <w:rPr>
          <w:rFonts w:ascii="Arial" w:hAnsi="Arial" w:cs="Arial"/>
          <w:b/>
          <w:bCs/>
        </w:rPr>
        <w:t xml:space="preserve"> Manager</w:t>
      </w:r>
      <w:r w:rsidRPr="00F3704E">
        <w:rPr>
          <w:rFonts w:ascii="Arial" w:hAnsi="Arial" w:cs="Arial"/>
          <w:b/>
          <w:bCs/>
        </w:rPr>
        <w:t>: Robin Vennard</w:t>
      </w:r>
    </w:p>
    <w:p w:rsidR="00D6535E" w:rsidRPr="00F3704E" w:rsidRDefault="00D6535E" w:rsidP="00D6535E">
      <w:pPr>
        <w:pBdr>
          <w:bottom w:val="single" w:sz="4" w:space="1" w:color="auto"/>
        </w:pBdr>
        <w:rPr>
          <w:rFonts w:ascii="Arial" w:hAnsi="Arial" w:cs="Arial"/>
          <w:b/>
          <w:bCs/>
        </w:rPr>
      </w:pPr>
      <w:r w:rsidRPr="00F3704E">
        <w:rPr>
          <w:rFonts w:ascii="Arial" w:hAnsi="Arial" w:cs="Arial"/>
          <w:b/>
          <w:bCs/>
        </w:rPr>
        <w:t xml:space="preserve">Lead Cabinet Members: Councillors Maynard and </w:t>
      </w:r>
      <w:r w:rsidR="003E6BFC">
        <w:rPr>
          <w:rFonts w:ascii="Arial" w:hAnsi="Arial" w:cs="Arial"/>
          <w:b/>
          <w:bCs/>
        </w:rPr>
        <w:t>Lord Ampthill</w:t>
      </w:r>
    </w:p>
    <w:p w:rsidR="00D6535E" w:rsidRPr="00F3704E" w:rsidRDefault="00D6535E" w:rsidP="00D6535E">
      <w:pPr>
        <w:pBdr>
          <w:bottom w:val="single" w:sz="4" w:space="1" w:color="auto"/>
        </w:pBdr>
        <w:rPr>
          <w:rFonts w:ascii="Arial" w:hAnsi="Arial" w:cs="Arial"/>
          <w:b/>
          <w:bCs/>
          <w:sz w:val="20"/>
          <w:szCs w:val="20"/>
        </w:rPr>
      </w:pPr>
    </w:p>
    <w:p w:rsidR="00D6535E" w:rsidRPr="00F3704E" w:rsidRDefault="00D6535E" w:rsidP="00D6535E"/>
    <w:p w:rsidR="00D6535E" w:rsidRPr="00F3704E" w:rsidRDefault="00D6535E" w:rsidP="00D6535E">
      <w:pPr>
        <w:rPr>
          <w:rFonts w:ascii="Arial" w:hAnsi="Arial" w:cs="Arial"/>
          <w:b/>
          <w:bCs/>
        </w:rPr>
      </w:pPr>
      <w:r w:rsidRPr="00F3704E">
        <w:rPr>
          <w:rFonts w:ascii="Arial" w:hAnsi="Arial" w:cs="Arial"/>
          <w:b/>
          <w:bCs/>
        </w:rPr>
        <w:t>Introduction</w:t>
      </w:r>
    </w:p>
    <w:p w:rsidR="00D6535E" w:rsidRPr="00F3704E" w:rsidRDefault="00D6535E" w:rsidP="00D6535E">
      <w:pPr>
        <w:rPr>
          <w:rFonts w:ascii="Arial" w:hAnsi="Arial" w:cs="Arial"/>
          <w:b/>
          <w:bCs/>
        </w:rPr>
      </w:pPr>
    </w:p>
    <w:p w:rsidR="00D6535E" w:rsidRPr="00F3704E" w:rsidRDefault="00D6535E" w:rsidP="00D6535E">
      <w:pPr>
        <w:pStyle w:val="BodyText"/>
        <w:ind w:left="720" w:hanging="720"/>
        <w:jc w:val="both"/>
        <w:rPr>
          <w:rFonts w:ascii="Arial" w:hAnsi="Arial" w:cs="Arial"/>
        </w:rPr>
      </w:pPr>
      <w:r w:rsidRPr="00F3704E">
        <w:rPr>
          <w:rFonts w:ascii="Arial" w:hAnsi="Arial" w:cs="Arial"/>
        </w:rPr>
        <w:t>1.</w:t>
      </w:r>
      <w:r w:rsidRPr="00F3704E">
        <w:rPr>
          <w:rFonts w:ascii="Arial" w:hAnsi="Arial" w:cs="Arial"/>
        </w:rPr>
        <w:tab/>
        <w:t>The Council is required to operate a balanced budget, which broadly means that cash raised during the year will meet cash expenditure.  Part of the treasury management operation is to ensure that this cash flow is adequately planned</w:t>
      </w:r>
      <w:r>
        <w:rPr>
          <w:rFonts w:ascii="Arial" w:hAnsi="Arial" w:cs="Arial"/>
        </w:rPr>
        <w:t xml:space="preserve"> for</w:t>
      </w:r>
      <w:r w:rsidRPr="00F3704E">
        <w:rPr>
          <w:rFonts w:ascii="Arial" w:hAnsi="Arial" w:cs="Arial"/>
        </w:rPr>
        <w:t>, with cash being available when it is needed.  Surplus monies are invested in low risk counterparties or instruments commensurate with the Council’s low risk appetite, providing adequate liquidity initially before considering investment return.</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ind w:left="720" w:hanging="720"/>
        <w:jc w:val="both"/>
        <w:rPr>
          <w:rFonts w:ascii="Arial" w:hAnsi="Arial" w:cs="Arial"/>
        </w:rPr>
      </w:pPr>
      <w:r w:rsidRPr="00F3704E">
        <w:rPr>
          <w:rFonts w:ascii="Arial" w:hAnsi="Arial" w:cs="Arial"/>
        </w:rPr>
        <w:tab/>
        <w:t>The second main function of the treasury management service is the funding of the Council’s capital plans.  These capital plans provide a guide to the borrowing need of the Council, essentially the longer term cash flow planning to ensure that the Council can meet its capital spending obligations.  This management of longer term cash may involve arranging long or short term loans, or using lo</w:t>
      </w:r>
      <w:r w:rsidR="003F2B88">
        <w:rPr>
          <w:rFonts w:ascii="Arial" w:hAnsi="Arial" w:cs="Arial"/>
        </w:rPr>
        <w:t xml:space="preserve">nger term cash flow surpluses. </w:t>
      </w:r>
      <w:r w:rsidRPr="00F3704E">
        <w:rPr>
          <w:rFonts w:ascii="Arial" w:hAnsi="Arial" w:cs="Arial"/>
        </w:rPr>
        <w:t>On occasion</w:t>
      </w:r>
      <w:r>
        <w:rPr>
          <w:rFonts w:ascii="Arial" w:hAnsi="Arial" w:cs="Arial"/>
        </w:rPr>
        <w:t>,</w:t>
      </w:r>
      <w:r w:rsidRPr="00F3704E">
        <w:rPr>
          <w:rFonts w:ascii="Arial" w:hAnsi="Arial" w:cs="Arial"/>
        </w:rPr>
        <w:t xml:space="preserve"> any debt previously drawn may be restructured to meet Council risk or cost objectives. </w:t>
      </w:r>
    </w:p>
    <w:p w:rsidR="00D6535E" w:rsidRDefault="00D6535E" w:rsidP="00D6535E">
      <w:pPr>
        <w:tabs>
          <w:tab w:val="num" w:pos="540"/>
        </w:tabs>
        <w:jc w:val="both"/>
        <w:rPr>
          <w:rFonts w:ascii="Arial" w:hAnsi="Arial" w:cs="Arial"/>
          <w:noProof/>
        </w:rPr>
      </w:pPr>
      <w:r w:rsidRPr="00F3704E">
        <w:rPr>
          <w:rFonts w:ascii="Arial" w:hAnsi="Arial" w:cs="Arial"/>
          <w:noProof/>
        </w:rPr>
        <w:tab/>
      </w:r>
      <w:r w:rsidRPr="00F3704E">
        <w:rPr>
          <w:rFonts w:ascii="Arial" w:hAnsi="Arial" w:cs="Arial"/>
          <w:noProof/>
        </w:rPr>
        <w:tab/>
        <w:t>CIPFA defines treasury management as:</w:t>
      </w:r>
    </w:p>
    <w:p w:rsidR="00D6535E" w:rsidRPr="00F3704E" w:rsidRDefault="00D6535E" w:rsidP="00D6535E">
      <w:pPr>
        <w:tabs>
          <w:tab w:val="num" w:pos="540"/>
        </w:tabs>
        <w:jc w:val="both"/>
        <w:rPr>
          <w:rFonts w:ascii="Arial" w:hAnsi="Arial" w:cs="Arial"/>
          <w:noProof/>
        </w:rPr>
      </w:pPr>
    </w:p>
    <w:p w:rsidR="00D6535E" w:rsidRPr="00F3704E" w:rsidRDefault="00D6535E" w:rsidP="00D6535E">
      <w:pPr>
        <w:tabs>
          <w:tab w:val="num" w:pos="540"/>
        </w:tabs>
        <w:ind w:left="720"/>
        <w:jc w:val="both"/>
        <w:rPr>
          <w:rFonts w:ascii="Arial" w:hAnsi="Arial" w:cs="Arial"/>
          <w:i/>
          <w:noProof/>
        </w:rPr>
      </w:pPr>
      <w:r w:rsidRPr="00F3704E">
        <w:rPr>
          <w:rFonts w:ascii="Arial" w:hAnsi="Arial" w:cs="Arial"/>
          <w:i/>
          <w:noProof/>
        </w:rPr>
        <w:t>“The management of the local authority’s investments and cash flows, its banking, money market and capital market transactions; the effective control of the risks associated with those activities; and the pursuit of optimum performance consistent with those risks.”</w:t>
      </w:r>
    </w:p>
    <w:p w:rsidR="00D6535E" w:rsidRPr="00F3704E" w:rsidRDefault="00D6535E" w:rsidP="00D6535E">
      <w:pPr>
        <w:pStyle w:val="BodyText"/>
        <w:ind w:left="720"/>
        <w:jc w:val="both"/>
        <w:rPr>
          <w:rFonts w:ascii="Arial" w:hAnsi="Arial" w:cs="Arial"/>
        </w:rPr>
      </w:pPr>
    </w:p>
    <w:p w:rsidR="00D6535E" w:rsidRPr="00F3704E" w:rsidRDefault="00D6535E" w:rsidP="00D6535E">
      <w:pPr>
        <w:rPr>
          <w:rFonts w:ascii="Arial" w:hAnsi="Arial" w:cs="Arial"/>
          <w:b/>
          <w:bCs/>
        </w:rPr>
      </w:pPr>
      <w:r w:rsidRPr="00F3704E">
        <w:rPr>
          <w:rFonts w:ascii="Arial" w:hAnsi="Arial" w:cs="Arial"/>
          <w:b/>
          <w:bCs/>
        </w:rPr>
        <w:lastRenderedPageBreak/>
        <w:t>Reporting Requirements</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ind w:left="720" w:hanging="720"/>
        <w:jc w:val="both"/>
        <w:rPr>
          <w:rFonts w:ascii="Arial" w:hAnsi="Arial" w:cs="Arial"/>
        </w:rPr>
      </w:pPr>
      <w:r w:rsidRPr="00F3704E">
        <w:rPr>
          <w:rFonts w:ascii="Arial" w:hAnsi="Arial" w:cs="Arial"/>
        </w:rPr>
        <w:t>2.</w:t>
      </w:r>
      <w:r w:rsidRPr="00F3704E">
        <w:rPr>
          <w:rFonts w:ascii="Arial" w:hAnsi="Arial" w:cs="Arial"/>
        </w:rPr>
        <w:tab/>
        <w:t xml:space="preserve">The Council is required to receive and approve, as a minimum, three main reports each year, which incorporate a variety of policies, estimates and actuals.  </w:t>
      </w:r>
    </w:p>
    <w:p w:rsidR="00D6535E" w:rsidRPr="00F3704E" w:rsidRDefault="00D6535E" w:rsidP="00D6535E">
      <w:pPr>
        <w:pStyle w:val="BodyText"/>
        <w:ind w:left="720" w:hanging="720"/>
        <w:jc w:val="both"/>
        <w:rPr>
          <w:rFonts w:ascii="Arial" w:hAnsi="Arial" w:cs="Arial"/>
        </w:rPr>
      </w:pPr>
    </w:p>
    <w:p w:rsidR="00D6535E" w:rsidRDefault="00D6535E" w:rsidP="00D6535E">
      <w:pPr>
        <w:pStyle w:val="BodyText"/>
        <w:ind w:left="720"/>
        <w:jc w:val="both"/>
        <w:rPr>
          <w:rFonts w:ascii="Arial" w:hAnsi="Arial" w:cs="Arial"/>
        </w:rPr>
      </w:pPr>
      <w:r w:rsidRPr="00F3704E">
        <w:rPr>
          <w:rFonts w:ascii="Arial" w:hAnsi="Arial" w:cs="Arial"/>
          <w:b/>
          <w:bCs/>
        </w:rPr>
        <w:t>Prudential and Treasury Indicators and Treasury Strategy</w:t>
      </w:r>
      <w:r w:rsidRPr="00F3704E">
        <w:rPr>
          <w:rFonts w:ascii="Arial" w:hAnsi="Arial" w:cs="Arial"/>
        </w:rPr>
        <w:t xml:space="preserve"> (this report) </w:t>
      </w:r>
      <w:r>
        <w:rPr>
          <w:rFonts w:ascii="Arial" w:hAnsi="Arial" w:cs="Arial"/>
        </w:rPr>
        <w:t>–</w:t>
      </w:r>
      <w:r w:rsidRPr="00F3704E">
        <w:rPr>
          <w:rFonts w:ascii="Arial" w:hAnsi="Arial" w:cs="Arial"/>
        </w:rPr>
        <w:t xml:space="preserve"> the f</w:t>
      </w:r>
      <w:r>
        <w:rPr>
          <w:rFonts w:ascii="Arial" w:hAnsi="Arial" w:cs="Arial"/>
        </w:rPr>
        <w:t xml:space="preserve">irst, and most important report, </w:t>
      </w:r>
      <w:r w:rsidRPr="00F3704E">
        <w:rPr>
          <w:rFonts w:ascii="Arial" w:hAnsi="Arial" w:cs="Arial"/>
        </w:rPr>
        <w:t>covers:</w:t>
      </w:r>
    </w:p>
    <w:p w:rsidR="00D6535E" w:rsidRPr="00F3704E" w:rsidRDefault="00D6535E" w:rsidP="00D6535E">
      <w:pPr>
        <w:pStyle w:val="BodyText"/>
        <w:ind w:left="720"/>
        <w:jc w:val="both"/>
        <w:rPr>
          <w:rFonts w:ascii="Arial" w:hAnsi="Arial" w:cs="Arial"/>
        </w:rPr>
      </w:pPr>
    </w:p>
    <w:p w:rsidR="00D6535E" w:rsidRPr="00F3704E" w:rsidRDefault="00D6535E" w:rsidP="00D6535E">
      <w:pPr>
        <w:pStyle w:val="BodyText"/>
        <w:numPr>
          <w:ilvl w:val="0"/>
          <w:numId w:val="4"/>
        </w:numPr>
        <w:ind w:left="1080"/>
        <w:jc w:val="both"/>
        <w:rPr>
          <w:rFonts w:ascii="Arial" w:hAnsi="Arial" w:cs="Arial"/>
        </w:rPr>
      </w:pPr>
      <w:r w:rsidRPr="00F3704E">
        <w:rPr>
          <w:rFonts w:ascii="Arial" w:hAnsi="Arial" w:cs="Arial"/>
        </w:rPr>
        <w:t>the capital plans (including prudential indicators);</w:t>
      </w:r>
    </w:p>
    <w:p w:rsidR="00D6535E" w:rsidRPr="00F3704E" w:rsidRDefault="00D6535E" w:rsidP="00D6535E">
      <w:pPr>
        <w:numPr>
          <w:ilvl w:val="0"/>
          <w:numId w:val="4"/>
        </w:numPr>
        <w:spacing w:before="45" w:after="45"/>
        <w:ind w:left="1080"/>
        <w:jc w:val="both"/>
        <w:rPr>
          <w:rFonts w:ascii="Arial" w:hAnsi="Arial" w:cs="Arial"/>
        </w:rPr>
      </w:pPr>
      <w:r w:rsidRPr="00F3704E">
        <w:rPr>
          <w:rFonts w:ascii="Arial" w:hAnsi="Arial" w:cs="Arial"/>
        </w:rPr>
        <w:t>a minimum revenue provision (MRP) policy (how residual capital expenditure is charged to revenue over time);</w:t>
      </w:r>
    </w:p>
    <w:p w:rsidR="00D6535E" w:rsidRPr="00F3704E" w:rsidRDefault="00D6535E" w:rsidP="00D6535E">
      <w:pPr>
        <w:pStyle w:val="BodyText"/>
        <w:numPr>
          <w:ilvl w:val="0"/>
          <w:numId w:val="4"/>
        </w:numPr>
        <w:ind w:left="1080"/>
        <w:jc w:val="both"/>
        <w:rPr>
          <w:rFonts w:ascii="Arial" w:hAnsi="Arial" w:cs="Arial"/>
        </w:rPr>
      </w:pPr>
      <w:r w:rsidRPr="00F3704E">
        <w:rPr>
          <w:rFonts w:ascii="Arial" w:hAnsi="Arial" w:cs="Arial"/>
        </w:rPr>
        <w:t xml:space="preserve">the Treasury Management Strategy (how the investments and borrowings are to be organised) including treasury indicators; and </w:t>
      </w:r>
    </w:p>
    <w:p w:rsidR="00D6535E" w:rsidRPr="00F3704E" w:rsidRDefault="00D6535E" w:rsidP="00D6535E">
      <w:pPr>
        <w:pStyle w:val="BodyText"/>
        <w:numPr>
          <w:ilvl w:val="0"/>
          <w:numId w:val="4"/>
        </w:numPr>
        <w:ind w:left="1080"/>
        <w:jc w:val="both"/>
        <w:rPr>
          <w:rFonts w:ascii="Arial" w:hAnsi="Arial" w:cs="Arial"/>
        </w:rPr>
      </w:pPr>
      <w:proofErr w:type="gramStart"/>
      <w:r w:rsidRPr="00F3704E">
        <w:rPr>
          <w:rFonts w:ascii="Arial" w:hAnsi="Arial" w:cs="Arial"/>
        </w:rPr>
        <w:t>an</w:t>
      </w:r>
      <w:proofErr w:type="gramEnd"/>
      <w:r w:rsidRPr="00F3704E">
        <w:rPr>
          <w:rFonts w:ascii="Arial" w:hAnsi="Arial" w:cs="Arial"/>
        </w:rPr>
        <w:t xml:space="preserve"> investment strategy (the parameters on how investments are to be managed).</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ind w:left="720"/>
        <w:jc w:val="both"/>
        <w:rPr>
          <w:rFonts w:ascii="Arial" w:hAnsi="Arial" w:cs="Arial"/>
        </w:rPr>
      </w:pPr>
      <w:r w:rsidRPr="00F3704E">
        <w:rPr>
          <w:rFonts w:ascii="Arial" w:hAnsi="Arial" w:cs="Arial"/>
        </w:rPr>
        <w:t xml:space="preserve">A </w:t>
      </w:r>
      <w:r w:rsidRPr="00F3704E">
        <w:rPr>
          <w:rFonts w:ascii="Arial" w:hAnsi="Arial" w:cs="Arial"/>
          <w:b/>
          <w:bCs/>
        </w:rPr>
        <w:t>Mid-Year Treasury Management Report</w:t>
      </w:r>
      <w:r w:rsidRPr="00F3704E">
        <w:rPr>
          <w:rFonts w:ascii="Arial" w:hAnsi="Arial" w:cs="Arial"/>
        </w:rPr>
        <w:t xml:space="preserve"> – This will update Members with the progress of the capital position, amending prudential indicators as necessary, and whether the treasury strategy is meeting the </w:t>
      </w:r>
      <w:r>
        <w:rPr>
          <w:rFonts w:ascii="Arial" w:hAnsi="Arial" w:cs="Arial"/>
        </w:rPr>
        <w:t xml:space="preserve">initial </w:t>
      </w:r>
      <w:r w:rsidRPr="00F3704E">
        <w:rPr>
          <w:rFonts w:ascii="Arial" w:hAnsi="Arial" w:cs="Arial"/>
        </w:rPr>
        <w:t>strategy or whether any policies requ</w:t>
      </w:r>
      <w:r>
        <w:rPr>
          <w:rFonts w:ascii="Arial" w:hAnsi="Arial" w:cs="Arial"/>
        </w:rPr>
        <w:t>ire revision.  In addition, the</w:t>
      </w:r>
      <w:r w:rsidRPr="00F3704E">
        <w:rPr>
          <w:rFonts w:ascii="Arial" w:hAnsi="Arial" w:cs="Arial"/>
        </w:rPr>
        <w:t xml:space="preserve"> Council will receive quarterly update reports.</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ind w:left="720"/>
        <w:jc w:val="both"/>
        <w:rPr>
          <w:rFonts w:ascii="Arial" w:hAnsi="Arial" w:cs="Arial"/>
        </w:rPr>
      </w:pPr>
      <w:r w:rsidRPr="00F3704E">
        <w:rPr>
          <w:rFonts w:ascii="Arial" w:hAnsi="Arial" w:cs="Arial"/>
        </w:rPr>
        <w:t xml:space="preserve">An </w:t>
      </w:r>
      <w:r w:rsidRPr="00F3704E">
        <w:rPr>
          <w:rFonts w:ascii="Arial" w:hAnsi="Arial" w:cs="Arial"/>
          <w:b/>
          <w:bCs/>
        </w:rPr>
        <w:t>Annual Treasury Report</w:t>
      </w:r>
      <w:r w:rsidRPr="00F3704E">
        <w:rPr>
          <w:rFonts w:ascii="Arial" w:hAnsi="Arial" w:cs="Arial"/>
        </w:rPr>
        <w:t xml:space="preserve"> – This provides details of a selection of actual prudential and treasury indicators and actual treasury operations compared to the estimates </w:t>
      </w:r>
      <w:r>
        <w:rPr>
          <w:rFonts w:ascii="Arial" w:hAnsi="Arial" w:cs="Arial"/>
        </w:rPr>
        <w:t xml:space="preserve">set out </w:t>
      </w:r>
      <w:r w:rsidRPr="00F3704E">
        <w:rPr>
          <w:rFonts w:ascii="Arial" w:hAnsi="Arial" w:cs="Arial"/>
        </w:rPr>
        <w:t xml:space="preserve">within the </w:t>
      </w:r>
      <w:r>
        <w:rPr>
          <w:rFonts w:ascii="Arial" w:hAnsi="Arial" w:cs="Arial"/>
        </w:rPr>
        <w:t>initial and Mid-Year strategies</w:t>
      </w:r>
      <w:r w:rsidRPr="00F3704E">
        <w:rPr>
          <w:rFonts w:ascii="Arial" w:hAnsi="Arial" w:cs="Arial"/>
        </w:rPr>
        <w:t>.</w:t>
      </w:r>
    </w:p>
    <w:p w:rsidR="00D6535E" w:rsidRPr="00F3704E" w:rsidRDefault="00D6535E" w:rsidP="00D6535E">
      <w:pPr>
        <w:pStyle w:val="BodyText"/>
        <w:ind w:left="720"/>
        <w:jc w:val="both"/>
        <w:rPr>
          <w:rFonts w:ascii="Arial" w:hAnsi="Arial" w:cs="Arial"/>
        </w:rPr>
      </w:pPr>
    </w:p>
    <w:p w:rsidR="00D6535E" w:rsidRPr="00F3704E" w:rsidRDefault="00D6535E" w:rsidP="00D6535E">
      <w:pPr>
        <w:pStyle w:val="BodyText"/>
        <w:ind w:left="720"/>
        <w:jc w:val="both"/>
        <w:rPr>
          <w:rFonts w:ascii="Arial" w:hAnsi="Arial" w:cs="Arial"/>
        </w:rPr>
      </w:pPr>
      <w:r w:rsidRPr="00F3704E">
        <w:rPr>
          <w:rFonts w:ascii="Arial" w:hAnsi="Arial" w:cs="Arial"/>
          <w:b/>
        </w:rPr>
        <w:t>Scrutiny</w:t>
      </w:r>
      <w:r w:rsidRPr="00F3704E">
        <w:rPr>
          <w:rFonts w:ascii="Arial" w:hAnsi="Arial" w:cs="Arial"/>
        </w:rPr>
        <w:t xml:space="preserve"> – The above reports are required to be adequately scrutinized before being recommended to the Council.  This role is undertaken by the </w:t>
      </w:r>
      <w:r w:rsidRPr="00ED5325">
        <w:rPr>
          <w:rFonts w:ascii="Arial" w:hAnsi="Arial" w:cs="Arial"/>
        </w:rPr>
        <w:t>Audit C</w:t>
      </w:r>
      <w:r w:rsidRPr="00F3704E">
        <w:rPr>
          <w:rFonts w:ascii="Arial" w:hAnsi="Arial" w:cs="Arial"/>
        </w:rPr>
        <w:t>ommittee.</w:t>
      </w:r>
    </w:p>
    <w:p w:rsidR="00D6535E" w:rsidRPr="00F3704E" w:rsidRDefault="00D6535E" w:rsidP="00D6535E">
      <w:pPr>
        <w:pStyle w:val="BodyText"/>
        <w:ind w:left="720"/>
        <w:jc w:val="both"/>
        <w:rPr>
          <w:rFonts w:ascii="Arial" w:hAnsi="Arial" w:cs="Arial"/>
        </w:rPr>
      </w:pPr>
    </w:p>
    <w:p w:rsidR="00D6535E" w:rsidRPr="00F3704E" w:rsidRDefault="00D6535E" w:rsidP="00D6535E">
      <w:pPr>
        <w:rPr>
          <w:rFonts w:ascii="Arial" w:hAnsi="Arial" w:cs="Arial"/>
          <w:b/>
          <w:bCs/>
        </w:rPr>
      </w:pPr>
      <w:r w:rsidRPr="00F3704E">
        <w:rPr>
          <w:rFonts w:ascii="Arial" w:hAnsi="Arial" w:cs="Arial"/>
          <w:b/>
          <w:bCs/>
        </w:rPr>
        <w:t xml:space="preserve">Treasury Management Strategy for </w:t>
      </w:r>
      <w:r>
        <w:rPr>
          <w:rFonts w:ascii="Arial" w:hAnsi="Arial" w:cs="Arial"/>
          <w:b/>
          <w:bCs/>
        </w:rPr>
        <w:t>2016</w:t>
      </w:r>
      <w:r w:rsidR="000E48BA">
        <w:rPr>
          <w:rFonts w:ascii="Arial" w:hAnsi="Arial" w:cs="Arial"/>
          <w:b/>
          <w:bCs/>
        </w:rPr>
        <w:t>/17</w:t>
      </w:r>
    </w:p>
    <w:p w:rsidR="00D6535E" w:rsidRPr="00F3704E" w:rsidRDefault="00D6535E" w:rsidP="00D6535E">
      <w:pPr>
        <w:rPr>
          <w:rFonts w:ascii="Arial" w:hAnsi="Arial" w:cs="Arial"/>
          <w:bCs/>
          <w:color w:val="4F81BD" w:themeColor="accent1"/>
        </w:rPr>
      </w:pPr>
    </w:p>
    <w:p w:rsidR="00D6535E" w:rsidRPr="000A0FA1" w:rsidRDefault="00D6535E" w:rsidP="00D6535E">
      <w:pPr>
        <w:pStyle w:val="BodyText"/>
        <w:jc w:val="both"/>
        <w:rPr>
          <w:rFonts w:ascii="Arial" w:hAnsi="Arial" w:cs="Arial"/>
          <w:noProof/>
        </w:rPr>
      </w:pPr>
      <w:r>
        <w:rPr>
          <w:rFonts w:ascii="Arial" w:hAnsi="Arial" w:cs="Arial"/>
          <w:noProof/>
        </w:rPr>
        <w:t>3.</w:t>
      </w:r>
      <w:r>
        <w:rPr>
          <w:rFonts w:ascii="Arial" w:hAnsi="Arial" w:cs="Arial"/>
          <w:noProof/>
        </w:rPr>
        <w:tab/>
        <w:t>The S</w:t>
      </w:r>
      <w:r w:rsidRPr="000A0FA1">
        <w:rPr>
          <w:rFonts w:ascii="Arial" w:hAnsi="Arial" w:cs="Arial"/>
          <w:noProof/>
        </w:rPr>
        <w:t>trategy for 2016</w:t>
      </w:r>
      <w:r w:rsidR="000E48BA">
        <w:rPr>
          <w:rFonts w:ascii="Arial" w:hAnsi="Arial" w:cs="Arial"/>
          <w:noProof/>
        </w:rPr>
        <w:t>/17</w:t>
      </w:r>
      <w:r w:rsidRPr="000A0FA1">
        <w:rPr>
          <w:rFonts w:ascii="Arial" w:hAnsi="Arial" w:cs="Arial"/>
          <w:noProof/>
        </w:rPr>
        <w:t xml:space="preserve"> covers two main areas:</w:t>
      </w:r>
    </w:p>
    <w:p w:rsidR="00D6535E" w:rsidRPr="000A0FA1" w:rsidRDefault="00D6535E" w:rsidP="00D6535E">
      <w:pPr>
        <w:pStyle w:val="BodyText"/>
        <w:jc w:val="both"/>
        <w:rPr>
          <w:rFonts w:ascii="Arial" w:hAnsi="Arial" w:cs="Arial"/>
          <w:noProof/>
        </w:rPr>
      </w:pPr>
    </w:p>
    <w:p w:rsidR="00D6535E" w:rsidRPr="000A0FA1" w:rsidRDefault="00D6535E" w:rsidP="00D6535E">
      <w:pPr>
        <w:pStyle w:val="BodyText"/>
        <w:ind w:firstLine="720"/>
        <w:jc w:val="both"/>
        <w:rPr>
          <w:rFonts w:ascii="Arial" w:hAnsi="Arial" w:cs="Arial"/>
          <w:b/>
          <w:noProof/>
        </w:rPr>
      </w:pPr>
      <w:r w:rsidRPr="000A0FA1">
        <w:rPr>
          <w:rFonts w:ascii="Arial" w:hAnsi="Arial" w:cs="Arial"/>
          <w:b/>
          <w:noProof/>
        </w:rPr>
        <w:t>Capital issues</w:t>
      </w:r>
    </w:p>
    <w:p w:rsidR="00D6535E" w:rsidRPr="00B473C3" w:rsidRDefault="00D6535E" w:rsidP="00D6535E">
      <w:pPr>
        <w:pStyle w:val="ListParagraph"/>
        <w:numPr>
          <w:ilvl w:val="0"/>
          <w:numId w:val="34"/>
        </w:numPr>
        <w:ind w:left="1080"/>
        <w:rPr>
          <w:rFonts w:ascii="Arial" w:hAnsi="Arial" w:cs="Arial"/>
          <w:noProof/>
        </w:rPr>
      </w:pPr>
      <w:r w:rsidRPr="00B473C3">
        <w:rPr>
          <w:rFonts w:ascii="Arial" w:hAnsi="Arial" w:cs="Arial"/>
          <w:noProof/>
        </w:rPr>
        <w:t>the capital plans and the prudential indicators; and</w:t>
      </w:r>
    </w:p>
    <w:p w:rsidR="00D6535E" w:rsidRPr="00B473C3" w:rsidRDefault="00D6535E" w:rsidP="00D6535E">
      <w:pPr>
        <w:pStyle w:val="ListParagraph"/>
        <w:numPr>
          <w:ilvl w:val="0"/>
          <w:numId w:val="34"/>
        </w:numPr>
        <w:ind w:left="1080"/>
        <w:rPr>
          <w:rFonts w:ascii="Arial" w:hAnsi="Arial" w:cs="Arial"/>
          <w:noProof/>
        </w:rPr>
      </w:pPr>
      <w:r w:rsidRPr="00B473C3">
        <w:rPr>
          <w:rFonts w:ascii="Arial" w:hAnsi="Arial" w:cs="Arial"/>
          <w:noProof/>
        </w:rPr>
        <w:t>the minimum revenue provision (MRP) policy.</w:t>
      </w:r>
    </w:p>
    <w:p w:rsidR="00D6535E" w:rsidRPr="00B473C3" w:rsidRDefault="00D6535E" w:rsidP="00D6535E">
      <w:pPr>
        <w:ind w:left="1080"/>
        <w:rPr>
          <w:rFonts w:ascii="Arial" w:hAnsi="Arial" w:cs="Arial"/>
          <w:noProof/>
        </w:rPr>
      </w:pPr>
    </w:p>
    <w:p w:rsidR="00D6535E" w:rsidRDefault="00D6535E" w:rsidP="00D6535E">
      <w:pPr>
        <w:spacing w:before="45" w:after="45"/>
        <w:ind w:firstLine="720"/>
        <w:rPr>
          <w:rFonts w:ascii="Arial" w:hAnsi="Arial" w:cs="Arial"/>
          <w:b/>
          <w:noProof/>
        </w:rPr>
      </w:pPr>
      <w:r w:rsidRPr="000A0FA1">
        <w:rPr>
          <w:rFonts w:ascii="Arial" w:hAnsi="Arial" w:cs="Arial"/>
          <w:b/>
          <w:noProof/>
        </w:rPr>
        <w:t>Treasury management issues</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the current treasury position;</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treasury indicators which limit the treasury risk and activities of the Council;</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prospects for interest rates;</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the borrowing strategy;</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policy on borrowing in advance of need;</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debt rescheduling;</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the investment strategy;</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creditworthiness policy; and</w:t>
      </w:r>
    </w:p>
    <w:p w:rsidR="00D6535E" w:rsidRPr="00B473C3" w:rsidRDefault="00D6535E" w:rsidP="00D6535E">
      <w:pPr>
        <w:pStyle w:val="ListParagraph"/>
        <w:numPr>
          <w:ilvl w:val="0"/>
          <w:numId w:val="35"/>
        </w:numPr>
        <w:ind w:left="1080"/>
        <w:rPr>
          <w:rFonts w:ascii="Arial" w:hAnsi="Arial" w:cs="Arial"/>
          <w:noProof/>
        </w:rPr>
      </w:pPr>
      <w:r w:rsidRPr="00B473C3">
        <w:rPr>
          <w:rFonts w:ascii="Arial" w:hAnsi="Arial" w:cs="Arial"/>
          <w:noProof/>
        </w:rPr>
        <w:t>policy on use of external service providers.</w:t>
      </w:r>
    </w:p>
    <w:p w:rsidR="00D6535E" w:rsidRPr="00B473C3" w:rsidRDefault="00D6535E" w:rsidP="00D6535E">
      <w:pPr>
        <w:ind w:left="1080"/>
        <w:rPr>
          <w:rFonts w:ascii="Arial" w:hAnsi="Arial" w:cs="Arial"/>
          <w:noProof/>
        </w:rPr>
      </w:pPr>
    </w:p>
    <w:p w:rsidR="00D6535E" w:rsidRPr="00CF0EA5" w:rsidRDefault="00D6535E" w:rsidP="00D6535E">
      <w:pPr>
        <w:ind w:left="720"/>
        <w:jc w:val="both"/>
        <w:rPr>
          <w:rFonts w:ascii="Arial" w:hAnsi="Arial" w:cs="Arial"/>
          <w:noProof/>
        </w:rPr>
      </w:pPr>
      <w:r w:rsidRPr="00CF0EA5">
        <w:rPr>
          <w:rFonts w:ascii="Arial" w:hAnsi="Arial" w:cs="Arial"/>
          <w:noProof/>
        </w:rPr>
        <w:lastRenderedPageBreak/>
        <w:t xml:space="preserve">These elements cover the requirements of the Local Government Act 2003, the CIPFA Prudential Code, CLG MRP Guidance, the CIPFA Treasury Management Code and  CLG Investment Guidance.  </w:t>
      </w:r>
    </w:p>
    <w:p w:rsidR="00D6535E" w:rsidRPr="00CF0EA5" w:rsidRDefault="00D6535E" w:rsidP="00D6535E">
      <w:pPr>
        <w:rPr>
          <w:rFonts w:ascii="Arial" w:hAnsi="Arial" w:cs="Arial"/>
          <w:noProof/>
        </w:rPr>
      </w:pPr>
    </w:p>
    <w:p w:rsidR="00D6535E" w:rsidRPr="00CF0EA5" w:rsidRDefault="00D6535E" w:rsidP="00D6535E">
      <w:pPr>
        <w:ind w:left="720"/>
        <w:rPr>
          <w:rFonts w:ascii="Arial" w:hAnsi="Arial" w:cs="Arial"/>
          <w:bCs/>
        </w:rPr>
      </w:pPr>
      <w:r w:rsidRPr="00CF0EA5">
        <w:rPr>
          <w:rFonts w:ascii="Arial" w:hAnsi="Arial" w:cs="Arial"/>
          <w:bCs/>
        </w:rPr>
        <w:t xml:space="preserve">The Strategy is set out in </w:t>
      </w:r>
      <w:r w:rsidRPr="00CF0EA5">
        <w:rPr>
          <w:rFonts w:ascii="Arial" w:hAnsi="Arial" w:cs="Arial"/>
          <w:b/>
          <w:bCs/>
        </w:rPr>
        <w:t>Appendix A</w:t>
      </w:r>
      <w:r w:rsidRPr="00CF0EA5">
        <w:rPr>
          <w:rFonts w:ascii="Arial" w:hAnsi="Arial" w:cs="Arial"/>
          <w:bCs/>
        </w:rPr>
        <w:t>.</w:t>
      </w:r>
    </w:p>
    <w:p w:rsidR="00D6535E" w:rsidRPr="00CF0EA5" w:rsidRDefault="00D6535E" w:rsidP="00D6535E">
      <w:pPr>
        <w:rPr>
          <w:rFonts w:ascii="Arial" w:hAnsi="Arial" w:cs="Arial"/>
          <w:b/>
          <w:bCs/>
          <w:color w:val="4F81BD" w:themeColor="accent1"/>
        </w:rPr>
      </w:pPr>
    </w:p>
    <w:p w:rsidR="00D6535E" w:rsidRDefault="00D6535E" w:rsidP="00D6535E">
      <w:pPr>
        <w:tabs>
          <w:tab w:val="left" w:pos="567"/>
        </w:tabs>
        <w:jc w:val="both"/>
        <w:rPr>
          <w:rFonts w:ascii="Arial" w:hAnsi="Arial" w:cs="Arial"/>
          <w:b/>
          <w:lang w:val="en-US"/>
        </w:rPr>
      </w:pPr>
      <w:r w:rsidRPr="001E04D1">
        <w:rPr>
          <w:rFonts w:ascii="Arial" w:hAnsi="Arial" w:cs="Arial"/>
          <w:b/>
          <w:bCs/>
        </w:rPr>
        <w:t>A</w:t>
      </w:r>
      <w:proofErr w:type="spellStart"/>
      <w:r w:rsidRPr="001E04D1">
        <w:rPr>
          <w:rFonts w:ascii="Arial" w:hAnsi="Arial" w:cs="Arial"/>
          <w:b/>
          <w:lang w:val="en-US"/>
        </w:rPr>
        <w:t>nnual</w:t>
      </w:r>
      <w:proofErr w:type="spellEnd"/>
      <w:r w:rsidRPr="001E04D1">
        <w:rPr>
          <w:rFonts w:ascii="Arial" w:hAnsi="Arial" w:cs="Arial"/>
          <w:b/>
          <w:lang w:val="en-US"/>
        </w:rPr>
        <w:t xml:space="preserve"> Investment Strategy</w:t>
      </w:r>
    </w:p>
    <w:p w:rsidR="00D6535E" w:rsidRDefault="00D6535E" w:rsidP="00D6535E">
      <w:pPr>
        <w:tabs>
          <w:tab w:val="left" w:pos="567"/>
        </w:tabs>
        <w:jc w:val="both"/>
        <w:rPr>
          <w:rFonts w:ascii="Arial" w:hAnsi="Arial" w:cs="Arial"/>
          <w:b/>
          <w:lang w:val="en-US"/>
        </w:rPr>
      </w:pPr>
    </w:p>
    <w:p w:rsidR="00D6535E" w:rsidRPr="001E04D1" w:rsidRDefault="000E48BA" w:rsidP="00D6535E">
      <w:pPr>
        <w:numPr>
          <w:ilvl w:val="0"/>
          <w:numId w:val="25"/>
        </w:numPr>
        <w:ind w:hanging="720"/>
        <w:jc w:val="both"/>
        <w:rPr>
          <w:rFonts w:ascii="Arial" w:hAnsi="Arial" w:cs="Arial"/>
          <w:noProof/>
        </w:rPr>
      </w:pPr>
      <w:r>
        <w:rPr>
          <w:rFonts w:ascii="Arial" w:hAnsi="Arial" w:cs="Arial"/>
          <w:noProof/>
        </w:rPr>
        <w:t>The A</w:t>
      </w:r>
      <w:r w:rsidR="00D6535E" w:rsidRPr="001E04D1">
        <w:rPr>
          <w:rFonts w:ascii="Arial" w:hAnsi="Arial" w:cs="Arial"/>
          <w:noProof/>
        </w:rPr>
        <w:t xml:space="preserve">nnual Investment Strategy sets out the Council’s investment priorities which promote security first, liquidity second, and finally return. In order to minimise the risk to investments, the Council stipulates the minimum acceptable credit quality of counterparties for inclusion on the lending list. The strategy is set out in </w:t>
      </w:r>
      <w:r w:rsidR="00D6535E" w:rsidRPr="001E04D1">
        <w:rPr>
          <w:rFonts w:ascii="Arial" w:hAnsi="Arial" w:cs="Arial"/>
          <w:b/>
          <w:noProof/>
        </w:rPr>
        <w:t>Appendix B</w:t>
      </w:r>
      <w:r w:rsidR="00D6535E" w:rsidRPr="001E04D1">
        <w:rPr>
          <w:rFonts w:ascii="Arial" w:hAnsi="Arial" w:cs="Arial"/>
          <w:noProof/>
        </w:rPr>
        <w:t xml:space="preserve"> to this report. </w:t>
      </w:r>
    </w:p>
    <w:p w:rsidR="00D6535E" w:rsidRPr="00F3704E" w:rsidRDefault="00D6535E" w:rsidP="00D6535E">
      <w:pPr>
        <w:jc w:val="both"/>
        <w:rPr>
          <w:rFonts w:ascii="Arial" w:hAnsi="Arial" w:cs="Arial"/>
          <w:noProof/>
          <w:color w:val="4F81BD" w:themeColor="accent1"/>
        </w:rPr>
      </w:pPr>
    </w:p>
    <w:p w:rsidR="00D6535E" w:rsidRPr="00A6099F" w:rsidRDefault="00D6535E" w:rsidP="00D6535E">
      <w:pPr>
        <w:rPr>
          <w:rFonts w:ascii="Arial" w:hAnsi="Arial"/>
          <w:b/>
          <w:color w:val="000000" w:themeColor="text1"/>
        </w:rPr>
      </w:pPr>
      <w:r w:rsidRPr="00A6099F">
        <w:rPr>
          <w:rFonts w:ascii="Arial" w:hAnsi="Arial"/>
          <w:b/>
          <w:color w:val="000000" w:themeColor="text1"/>
        </w:rPr>
        <w:t xml:space="preserve">Expected Investment Returns </w:t>
      </w:r>
      <w:r w:rsidR="000E48BA">
        <w:rPr>
          <w:rFonts w:ascii="Arial" w:hAnsi="Arial"/>
          <w:b/>
          <w:color w:val="000000" w:themeColor="text1"/>
        </w:rPr>
        <w:t>2016/17</w:t>
      </w:r>
    </w:p>
    <w:p w:rsidR="00D6535E" w:rsidRPr="00A6099F" w:rsidRDefault="00D6535E" w:rsidP="00D6535E">
      <w:pPr>
        <w:rPr>
          <w:rFonts w:ascii="Arial" w:hAnsi="Arial"/>
          <w:b/>
          <w:color w:val="000000" w:themeColor="text1"/>
        </w:rPr>
      </w:pPr>
    </w:p>
    <w:p w:rsidR="00D6535E" w:rsidRPr="00A6099F" w:rsidRDefault="00B12674" w:rsidP="00D6535E">
      <w:pPr>
        <w:pStyle w:val="ListParagraph"/>
        <w:numPr>
          <w:ilvl w:val="0"/>
          <w:numId w:val="25"/>
        </w:numPr>
        <w:ind w:hanging="720"/>
        <w:jc w:val="both"/>
        <w:rPr>
          <w:rFonts w:ascii="Arial" w:hAnsi="Arial"/>
          <w:color w:val="000000" w:themeColor="text1"/>
        </w:rPr>
      </w:pPr>
      <w:r>
        <w:rPr>
          <w:rFonts w:ascii="Arial" w:hAnsi="Arial"/>
          <w:color w:val="000000" w:themeColor="text1"/>
        </w:rPr>
        <w:t xml:space="preserve">The </w:t>
      </w:r>
      <w:r w:rsidR="00D6535E" w:rsidRPr="00A6099F">
        <w:rPr>
          <w:rFonts w:ascii="Arial" w:hAnsi="Arial"/>
          <w:color w:val="000000" w:themeColor="text1"/>
        </w:rPr>
        <w:t xml:space="preserve">Treasury Management Strategy suggests that </w:t>
      </w:r>
      <w:r w:rsidR="00D6535E">
        <w:rPr>
          <w:rFonts w:ascii="Arial" w:hAnsi="Arial"/>
          <w:color w:val="000000" w:themeColor="text1"/>
        </w:rPr>
        <w:t>Bank Rate</w:t>
      </w:r>
      <w:r w:rsidR="00D6535E" w:rsidRPr="00A6099F">
        <w:rPr>
          <w:rFonts w:ascii="Arial" w:hAnsi="Arial"/>
          <w:color w:val="000000" w:themeColor="text1"/>
        </w:rPr>
        <w:t xml:space="preserve"> will not be i</w:t>
      </w:r>
      <w:r w:rsidR="00D6535E">
        <w:rPr>
          <w:rFonts w:ascii="Arial" w:hAnsi="Arial"/>
          <w:color w:val="000000" w:themeColor="text1"/>
        </w:rPr>
        <w:t>ncreasing</w:t>
      </w:r>
      <w:r w:rsidR="00D6535E" w:rsidRPr="00A6099F">
        <w:rPr>
          <w:rFonts w:ascii="Arial" w:hAnsi="Arial"/>
          <w:color w:val="000000" w:themeColor="text1"/>
        </w:rPr>
        <w:t xml:space="preserve"> until </w:t>
      </w:r>
      <w:r w:rsidR="00D6535E">
        <w:rPr>
          <w:rFonts w:ascii="Arial" w:hAnsi="Arial"/>
          <w:color w:val="000000" w:themeColor="text1"/>
        </w:rPr>
        <w:t xml:space="preserve">Quarter </w:t>
      </w:r>
      <w:r w:rsidR="008A14DC">
        <w:rPr>
          <w:rFonts w:ascii="Arial" w:hAnsi="Arial"/>
          <w:color w:val="000000" w:themeColor="text1"/>
        </w:rPr>
        <w:t>4 2016</w:t>
      </w:r>
      <w:r w:rsidR="00D6535E">
        <w:rPr>
          <w:rFonts w:ascii="Arial" w:hAnsi="Arial"/>
          <w:color w:val="000000" w:themeColor="text1"/>
        </w:rPr>
        <w:t>, and even then increases are anticipated to be l</w:t>
      </w:r>
      <w:r w:rsidR="000E48BA">
        <w:rPr>
          <w:rFonts w:ascii="Arial" w:hAnsi="Arial"/>
          <w:color w:val="000000" w:themeColor="text1"/>
        </w:rPr>
        <w:t xml:space="preserve">imited to stepped increases of </w:t>
      </w:r>
      <w:r w:rsidR="008A14DC">
        <w:rPr>
          <w:rFonts w:ascii="Arial" w:hAnsi="Arial"/>
          <w:color w:val="000000" w:themeColor="text1"/>
        </w:rPr>
        <w:t>0.25</w:t>
      </w:r>
      <w:r w:rsidR="00D6535E">
        <w:rPr>
          <w:rFonts w:ascii="Arial" w:hAnsi="Arial"/>
          <w:color w:val="000000" w:themeColor="text1"/>
        </w:rPr>
        <w:t>%,</w:t>
      </w:r>
      <w:r w:rsidR="00D6535E" w:rsidRPr="00A6099F">
        <w:rPr>
          <w:rFonts w:ascii="Arial" w:hAnsi="Arial"/>
          <w:color w:val="000000" w:themeColor="text1"/>
        </w:rPr>
        <w:t xml:space="preserve"> </w:t>
      </w:r>
      <w:r w:rsidR="00D6535E">
        <w:rPr>
          <w:rFonts w:ascii="Arial" w:hAnsi="Arial"/>
          <w:color w:val="000000" w:themeColor="text1"/>
        </w:rPr>
        <w:t>reaching</w:t>
      </w:r>
      <w:r w:rsidR="00D6535E" w:rsidRPr="00A6099F">
        <w:rPr>
          <w:rFonts w:ascii="Arial" w:hAnsi="Arial"/>
          <w:color w:val="000000" w:themeColor="text1"/>
        </w:rPr>
        <w:t xml:space="preserve"> </w:t>
      </w:r>
      <w:r w:rsidR="008A14DC">
        <w:rPr>
          <w:rFonts w:ascii="Arial" w:hAnsi="Arial"/>
          <w:color w:val="000000" w:themeColor="text1"/>
        </w:rPr>
        <w:t>1.75</w:t>
      </w:r>
      <w:r w:rsidR="00D6535E" w:rsidRPr="00A6099F">
        <w:rPr>
          <w:rFonts w:ascii="Arial" w:hAnsi="Arial"/>
          <w:color w:val="000000" w:themeColor="text1"/>
        </w:rPr>
        <w:t xml:space="preserve">% in </w:t>
      </w:r>
      <w:r w:rsidR="00D6535E">
        <w:rPr>
          <w:rFonts w:ascii="Arial" w:hAnsi="Arial"/>
          <w:color w:val="000000" w:themeColor="text1"/>
        </w:rPr>
        <w:t xml:space="preserve">Quarter </w:t>
      </w:r>
      <w:r w:rsidR="008A14DC">
        <w:rPr>
          <w:rFonts w:ascii="Arial" w:hAnsi="Arial"/>
          <w:color w:val="000000" w:themeColor="text1"/>
        </w:rPr>
        <w:t>1 2019</w:t>
      </w:r>
      <w:r w:rsidR="00D6535E" w:rsidRPr="00A6099F">
        <w:rPr>
          <w:rFonts w:ascii="Arial" w:hAnsi="Arial"/>
          <w:color w:val="000000" w:themeColor="text1"/>
        </w:rPr>
        <w:t xml:space="preserve">. The </w:t>
      </w:r>
      <w:r w:rsidR="00D6535E">
        <w:rPr>
          <w:rFonts w:ascii="Arial" w:hAnsi="Arial"/>
          <w:color w:val="000000" w:themeColor="text1"/>
        </w:rPr>
        <w:t>R</w:t>
      </w:r>
      <w:r w:rsidR="00D6535E" w:rsidRPr="00A6099F">
        <w:rPr>
          <w:rFonts w:ascii="Arial" w:hAnsi="Arial"/>
          <w:color w:val="000000" w:themeColor="text1"/>
        </w:rPr>
        <w:t xml:space="preserve">evenue </w:t>
      </w:r>
      <w:r w:rsidR="00D6535E">
        <w:rPr>
          <w:rFonts w:ascii="Arial" w:hAnsi="Arial"/>
          <w:color w:val="000000" w:themeColor="text1"/>
        </w:rPr>
        <w:t>B</w:t>
      </w:r>
      <w:r w:rsidR="00D6535E" w:rsidRPr="00A6099F">
        <w:rPr>
          <w:rFonts w:ascii="Arial" w:hAnsi="Arial"/>
          <w:color w:val="000000" w:themeColor="text1"/>
        </w:rPr>
        <w:t>udget assumes a return of £</w:t>
      </w:r>
      <w:r w:rsidR="008A14DC">
        <w:rPr>
          <w:rFonts w:ascii="Arial" w:hAnsi="Arial"/>
          <w:color w:val="000000" w:themeColor="text1"/>
        </w:rPr>
        <w:t>135,000</w:t>
      </w:r>
      <w:r w:rsidR="00D6535E" w:rsidRPr="00A6099F">
        <w:rPr>
          <w:rFonts w:ascii="Arial" w:hAnsi="Arial"/>
          <w:color w:val="000000" w:themeColor="text1"/>
        </w:rPr>
        <w:t xml:space="preserve"> in </w:t>
      </w:r>
      <w:r w:rsidR="00D6535E">
        <w:rPr>
          <w:rFonts w:ascii="Arial" w:hAnsi="Arial"/>
          <w:color w:val="000000" w:themeColor="text1"/>
        </w:rPr>
        <w:t>2016</w:t>
      </w:r>
      <w:r w:rsidR="000E48BA">
        <w:rPr>
          <w:rFonts w:ascii="Arial" w:hAnsi="Arial"/>
          <w:color w:val="000000" w:themeColor="text1"/>
        </w:rPr>
        <w:t>/17</w:t>
      </w:r>
      <w:r w:rsidR="00D6535E" w:rsidRPr="00A6099F">
        <w:rPr>
          <w:rFonts w:ascii="Arial" w:hAnsi="Arial"/>
          <w:color w:val="000000" w:themeColor="text1"/>
        </w:rPr>
        <w:t xml:space="preserve"> based on an average interest rate and the expected use of resources to support the Capital Programme and the Revenue Budget. </w:t>
      </w:r>
    </w:p>
    <w:p w:rsidR="00D6535E" w:rsidRPr="00F3704E" w:rsidRDefault="00D6535E" w:rsidP="00D6535E">
      <w:pPr>
        <w:jc w:val="both"/>
        <w:rPr>
          <w:rFonts w:ascii="Arial" w:hAnsi="Arial"/>
          <w:color w:val="4F81BD" w:themeColor="accent1"/>
        </w:rPr>
      </w:pPr>
    </w:p>
    <w:p w:rsidR="00D6535E" w:rsidRPr="00F3704E" w:rsidRDefault="00D6535E" w:rsidP="00D6535E">
      <w:pPr>
        <w:rPr>
          <w:rFonts w:ascii="Arial" w:hAnsi="Arial"/>
          <w:b/>
        </w:rPr>
      </w:pPr>
      <w:r w:rsidRPr="00F3704E">
        <w:rPr>
          <w:rFonts w:ascii="Arial" w:hAnsi="Arial"/>
          <w:b/>
        </w:rPr>
        <w:t>Training</w:t>
      </w:r>
    </w:p>
    <w:p w:rsidR="00D6535E" w:rsidRPr="00F3704E" w:rsidRDefault="00D6535E" w:rsidP="00D6535E">
      <w:pPr>
        <w:jc w:val="both"/>
        <w:rPr>
          <w:rFonts w:ascii="Arial" w:hAnsi="Arial"/>
        </w:rPr>
      </w:pPr>
    </w:p>
    <w:p w:rsidR="00D6535E" w:rsidRPr="00F3704E" w:rsidRDefault="00D6535E" w:rsidP="00D6535E">
      <w:pPr>
        <w:pStyle w:val="ListParagraph"/>
        <w:numPr>
          <w:ilvl w:val="0"/>
          <w:numId w:val="25"/>
        </w:numPr>
        <w:ind w:hanging="720"/>
        <w:jc w:val="both"/>
        <w:rPr>
          <w:rFonts w:ascii="Arial" w:hAnsi="Arial"/>
        </w:rPr>
      </w:pPr>
      <w:r w:rsidRPr="00F3704E">
        <w:rPr>
          <w:rFonts w:ascii="Arial" w:hAnsi="Arial"/>
        </w:rPr>
        <w:t xml:space="preserve">The CIPFA Code requires the responsible officer to ensure that </w:t>
      </w:r>
      <w:r>
        <w:rPr>
          <w:rFonts w:ascii="Arial" w:hAnsi="Arial"/>
        </w:rPr>
        <w:t>M</w:t>
      </w:r>
      <w:r w:rsidRPr="00F3704E">
        <w:rPr>
          <w:rFonts w:ascii="Arial" w:hAnsi="Arial"/>
        </w:rPr>
        <w:t xml:space="preserve">embers with responsibility for treasury management receive adequate training in treasury management.  This especially applies to </w:t>
      </w:r>
      <w:r>
        <w:rPr>
          <w:rFonts w:ascii="Arial" w:hAnsi="Arial"/>
        </w:rPr>
        <w:t>M</w:t>
      </w:r>
      <w:r w:rsidRPr="00F3704E">
        <w:rPr>
          <w:rFonts w:ascii="Arial" w:hAnsi="Arial"/>
        </w:rPr>
        <w:t xml:space="preserve">embers responsible for scrutiny.  </w:t>
      </w:r>
      <w:r>
        <w:rPr>
          <w:rFonts w:ascii="Arial" w:hAnsi="Arial"/>
        </w:rPr>
        <w:t xml:space="preserve">Training was undertaken by Members in </w:t>
      </w:r>
      <w:proofErr w:type="spellStart"/>
      <w:r w:rsidR="000E48BA">
        <w:rPr>
          <w:rFonts w:ascii="Arial" w:hAnsi="Arial"/>
        </w:rPr>
        <w:t>xxxxxx</w:t>
      </w:r>
      <w:proofErr w:type="spellEnd"/>
      <w:r>
        <w:rPr>
          <w:rFonts w:ascii="Arial" w:hAnsi="Arial"/>
        </w:rPr>
        <w:t xml:space="preserve"> and further training will </w:t>
      </w:r>
      <w:r w:rsidRPr="00F3704E">
        <w:rPr>
          <w:rFonts w:ascii="Arial" w:hAnsi="Arial"/>
        </w:rPr>
        <w:t xml:space="preserve">be taking place </w:t>
      </w:r>
      <w:r w:rsidR="000E48BA">
        <w:rPr>
          <w:rFonts w:ascii="Arial" w:hAnsi="Arial"/>
        </w:rPr>
        <w:t>during 2016/17</w:t>
      </w:r>
      <w:r w:rsidRPr="00F3704E">
        <w:rPr>
          <w:rFonts w:ascii="Arial" w:hAnsi="Arial" w:cs="Arial"/>
        </w:rPr>
        <w:t xml:space="preserve">. </w:t>
      </w:r>
      <w:r w:rsidRPr="00F3704E">
        <w:rPr>
          <w:rFonts w:ascii="Arial" w:hAnsi="Arial"/>
        </w:rPr>
        <w:t xml:space="preserve">The training needs of treasury management officers are periodically reviewed. </w:t>
      </w:r>
    </w:p>
    <w:p w:rsidR="00D6535E" w:rsidRPr="00F3704E" w:rsidRDefault="00D6535E" w:rsidP="00D6535E">
      <w:pPr>
        <w:jc w:val="both"/>
        <w:rPr>
          <w:rFonts w:ascii="Arial" w:hAnsi="Arial"/>
          <w:color w:val="4F81BD" w:themeColor="accent1"/>
        </w:rPr>
      </w:pPr>
    </w:p>
    <w:p w:rsidR="00D6535E" w:rsidRPr="00A6099F" w:rsidRDefault="00D6535E" w:rsidP="00D6535E">
      <w:pPr>
        <w:rPr>
          <w:rFonts w:ascii="Arial" w:hAnsi="Arial"/>
          <w:b/>
          <w:color w:val="000000" w:themeColor="text1"/>
        </w:rPr>
      </w:pPr>
      <w:r w:rsidRPr="00A6099F">
        <w:rPr>
          <w:rFonts w:ascii="Arial" w:hAnsi="Arial"/>
          <w:b/>
          <w:color w:val="000000" w:themeColor="text1"/>
        </w:rPr>
        <w:t>Conclusion</w:t>
      </w:r>
    </w:p>
    <w:p w:rsidR="00D6535E" w:rsidRPr="00A6099F" w:rsidRDefault="00D6535E" w:rsidP="00D6535E">
      <w:pPr>
        <w:rPr>
          <w:rFonts w:ascii="Arial" w:hAnsi="Arial"/>
          <w:b/>
          <w:color w:val="000000" w:themeColor="text1"/>
        </w:rPr>
      </w:pPr>
    </w:p>
    <w:p w:rsidR="00D6535E" w:rsidRPr="00A6099F" w:rsidRDefault="00D6535E" w:rsidP="00D6535E">
      <w:pPr>
        <w:ind w:left="720" w:hanging="720"/>
        <w:jc w:val="both"/>
        <w:rPr>
          <w:rFonts w:ascii="Arial" w:hAnsi="Arial" w:cs="Arial"/>
          <w:color w:val="000000" w:themeColor="text1"/>
        </w:rPr>
      </w:pPr>
      <w:r w:rsidRPr="00A6099F">
        <w:rPr>
          <w:rFonts w:ascii="Arial" w:hAnsi="Arial" w:cs="Arial"/>
          <w:color w:val="000000" w:themeColor="text1"/>
        </w:rPr>
        <w:t>7.</w:t>
      </w:r>
      <w:r w:rsidRPr="00A6099F">
        <w:rPr>
          <w:rFonts w:ascii="Arial" w:hAnsi="Arial" w:cs="Arial"/>
          <w:color w:val="000000" w:themeColor="text1"/>
        </w:rPr>
        <w:tab/>
        <w:t xml:space="preserve">The strategies proposed in this report, together with the interest rates forecast, are in line with the assumptions made when preparing the </w:t>
      </w:r>
      <w:r w:rsidR="000E48BA">
        <w:rPr>
          <w:rFonts w:ascii="Arial" w:hAnsi="Arial" w:cs="Arial"/>
          <w:color w:val="000000" w:themeColor="text1"/>
        </w:rPr>
        <w:t>2016/17</w:t>
      </w:r>
      <w:r w:rsidRPr="00A6099F">
        <w:rPr>
          <w:rFonts w:ascii="Arial" w:hAnsi="Arial" w:cs="Arial"/>
          <w:color w:val="000000" w:themeColor="text1"/>
        </w:rPr>
        <w:t xml:space="preserve"> </w:t>
      </w:r>
      <w:r>
        <w:rPr>
          <w:rFonts w:ascii="Arial" w:hAnsi="Arial" w:cs="Arial"/>
          <w:color w:val="000000" w:themeColor="text1"/>
        </w:rPr>
        <w:t>R</w:t>
      </w:r>
      <w:r w:rsidRPr="00A6099F">
        <w:rPr>
          <w:rFonts w:ascii="Arial" w:hAnsi="Arial" w:cs="Arial"/>
          <w:color w:val="000000" w:themeColor="text1"/>
        </w:rPr>
        <w:t xml:space="preserve">evenue </w:t>
      </w:r>
      <w:r>
        <w:rPr>
          <w:rFonts w:ascii="Arial" w:hAnsi="Arial" w:cs="Arial"/>
          <w:color w:val="000000" w:themeColor="text1"/>
        </w:rPr>
        <w:t>B</w:t>
      </w:r>
      <w:r w:rsidRPr="00A6099F">
        <w:rPr>
          <w:rFonts w:ascii="Arial" w:hAnsi="Arial" w:cs="Arial"/>
          <w:color w:val="000000" w:themeColor="text1"/>
        </w:rPr>
        <w:t xml:space="preserve">udget. The costs of treasury operations are contained within the </w:t>
      </w:r>
      <w:r w:rsidR="000E48BA">
        <w:rPr>
          <w:rFonts w:ascii="Arial" w:hAnsi="Arial" w:cs="Arial"/>
          <w:color w:val="000000" w:themeColor="text1"/>
        </w:rPr>
        <w:t>2016/17</w:t>
      </w:r>
      <w:r w:rsidRPr="00A6099F">
        <w:rPr>
          <w:rFonts w:ascii="Arial" w:hAnsi="Arial" w:cs="Arial"/>
          <w:color w:val="000000" w:themeColor="text1"/>
        </w:rPr>
        <w:t xml:space="preserve"> draft </w:t>
      </w:r>
      <w:r w:rsidR="000E48BA">
        <w:rPr>
          <w:rFonts w:ascii="Arial" w:hAnsi="Arial" w:cs="Arial"/>
          <w:color w:val="000000" w:themeColor="text1"/>
        </w:rPr>
        <w:t xml:space="preserve">Revenue </w:t>
      </w:r>
      <w:r>
        <w:rPr>
          <w:rFonts w:ascii="Arial" w:hAnsi="Arial" w:cs="Arial"/>
          <w:color w:val="000000" w:themeColor="text1"/>
        </w:rPr>
        <w:t>B</w:t>
      </w:r>
      <w:r w:rsidRPr="00A6099F">
        <w:rPr>
          <w:rFonts w:ascii="Arial" w:hAnsi="Arial" w:cs="Arial"/>
          <w:color w:val="000000" w:themeColor="text1"/>
        </w:rPr>
        <w:t xml:space="preserve">udget reported elsewhere on this agenda. </w:t>
      </w:r>
    </w:p>
    <w:p w:rsidR="00D6535E" w:rsidRPr="00A6099F" w:rsidRDefault="00D6535E" w:rsidP="00D6535E">
      <w:pPr>
        <w:ind w:left="720" w:hanging="720"/>
        <w:jc w:val="both"/>
        <w:rPr>
          <w:rFonts w:ascii="Arial" w:hAnsi="Arial" w:cs="Arial"/>
          <w:color w:val="000000" w:themeColor="text1"/>
        </w:rPr>
      </w:pPr>
    </w:p>
    <w:p w:rsidR="00D6535E" w:rsidRPr="00A6099F" w:rsidRDefault="00D6535E" w:rsidP="00D6535E">
      <w:pPr>
        <w:ind w:left="720" w:hanging="720"/>
        <w:jc w:val="both"/>
        <w:rPr>
          <w:rFonts w:ascii="Arial" w:hAnsi="Arial" w:cs="Arial"/>
          <w:color w:val="000000" w:themeColor="text1"/>
        </w:rPr>
      </w:pPr>
      <w:r w:rsidRPr="00A6099F">
        <w:rPr>
          <w:rFonts w:ascii="Arial" w:hAnsi="Arial" w:cs="Arial"/>
          <w:color w:val="000000" w:themeColor="text1"/>
        </w:rPr>
        <w:t>8.</w:t>
      </w:r>
      <w:r w:rsidRPr="00A6099F">
        <w:rPr>
          <w:rFonts w:ascii="Arial" w:hAnsi="Arial" w:cs="Arial"/>
          <w:color w:val="000000" w:themeColor="text1"/>
        </w:rPr>
        <w:tab/>
        <w:t xml:space="preserve">It is clear that low interest rates will continue to dominate </w:t>
      </w:r>
      <w:r w:rsidRPr="00F45A29">
        <w:rPr>
          <w:rFonts w:ascii="Arial" w:hAnsi="Arial" w:cs="Arial"/>
          <w:color w:val="000000" w:themeColor="text1"/>
        </w:rPr>
        <w:t>the markets in the coming year</w:t>
      </w:r>
      <w:r w:rsidRPr="00A6099F">
        <w:rPr>
          <w:rFonts w:ascii="Arial" w:hAnsi="Arial" w:cs="Arial"/>
          <w:color w:val="000000" w:themeColor="text1"/>
        </w:rPr>
        <w:t>. Officers in conjunction with treasury advisors will seek to achieve the best return whilst retaining the security of the investment. This will</w:t>
      </w:r>
      <w:r>
        <w:rPr>
          <w:rFonts w:ascii="Arial" w:hAnsi="Arial" w:cs="Arial"/>
          <w:color w:val="000000" w:themeColor="text1"/>
        </w:rPr>
        <w:t xml:space="preserve">, </w:t>
      </w:r>
      <w:r w:rsidRPr="00A6099F">
        <w:rPr>
          <w:rFonts w:ascii="Arial" w:hAnsi="Arial" w:cs="Arial"/>
          <w:color w:val="000000" w:themeColor="text1"/>
        </w:rPr>
        <w:t>however</w:t>
      </w:r>
      <w:r>
        <w:rPr>
          <w:rFonts w:ascii="Arial" w:hAnsi="Arial" w:cs="Arial"/>
          <w:color w:val="000000" w:themeColor="text1"/>
        </w:rPr>
        <w:t>,</w:t>
      </w:r>
      <w:r w:rsidRPr="00A6099F">
        <w:rPr>
          <w:rFonts w:ascii="Arial" w:hAnsi="Arial" w:cs="Arial"/>
          <w:color w:val="000000" w:themeColor="text1"/>
        </w:rPr>
        <w:t xml:space="preserve"> mean returns are likely to remain at minimal levels in </w:t>
      </w:r>
      <w:r w:rsidR="000E48BA">
        <w:rPr>
          <w:rFonts w:ascii="Arial" w:hAnsi="Arial" w:cs="Arial"/>
          <w:color w:val="000000" w:themeColor="text1"/>
        </w:rPr>
        <w:t>2016/17</w:t>
      </w:r>
      <w:r w:rsidRPr="00A6099F">
        <w:rPr>
          <w:rFonts w:ascii="Arial" w:hAnsi="Arial" w:cs="Arial"/>
          <w:color w:val="000000" w:themeColor="text1"/>
        </w:rPr>
        <w:t xml:space="preserve">. </w:t>
      </w:r>
    </w:p>
    <w:p w:rsidR="00D6535E" w:rsidRDefault="00D6535E" w:rsidP="00D6535E">
      <w:pPr>
        <w:rPr>
          <w:rFonts w:ascii="Arial" w:hAnsi="Arial" w:cs="Arial"/>
          <w:noProof/>
          <w:color w:val="4F81BD" w:themeColor="accent1"/>
        </w:rPr>
      </w:pPr>
    </w:p>
    <w:p w:rsidR="00D6535E" w:rsidRPr="00F3704E" w:rsidRDefault="00D6535E" w:rsidP="00D6535E">
      <w:pPr>
        <w:rPr>
          <w:rFonts w:ascii="Arial" w:hAnsi="Arial" w:cs="Arial"/>
          <w:noProof/>
          <w:color w:val="4F81BD" w:themeColor="accent1"/>
        </w:rPr>
      </w:pPr>
    </w:p>
    <w:p w:rsidR="00D6535E" w:rsidRPr="001E04D1" w:rsidRDefault="00D6535E" w:rsidP="00D6535E">
      <w:pPr>
        <w:jc w:val="both"/>
        <w:rPr>
          <w:rFonts w:ascii="Arial" w:hAnsi="Arial" w:cs="Arial"/>
        </w:rPr>
      </w:pPr>
      <w:r w:rsidRPr="001E04D1">
        <w:rPr>
          <w:rFonts w:ascii="Arial" w:hAnsi="Arial" w:cs="Arial"/>
        </w:rPr>
        <w:t>Malcolm Johnston</w:t>
      </w:r>
    </w:p>
    <w:p w:rsidR="00D6535E" w:rsidRPr="001E04D1" w:rsidRDefault="00D6535E" w:rsidP="00D6535E">
      <w:pPr>
        <w:jc w:val="both"/>
        <w:rPr>
          <w:rFonts w:ascii="Arial" w:hAnsi="Arial" w:cs="Arial"/>
        </w:rPr>
      </w:pPr>
      <w:r>
        <w:rPr>
          <w:rFonts w:ascii="Arial" w:hAnsi="Arial" w:cs="Arial"/>
        </w:rPr>
        <w:t xml:space="preserve">Executive </w:t>
      </w:r>
      <w:r w:rsidRPr="001E04D1">
        <w:rPr>
          <w:rFonts w:ascii="Arial" w:hAnsi="Arial" w:cs="Arial"/>
        </w:rPr>
        <w:t>Director of Resources</w:t>
      </w:r>
    </w:p>
    <w:p w:rsidR="00D6535E" w:rsidRDefault="00D6535E" w:rsidP="00D6535E">
      <w:pPr>
        <w:jc w:val="both"/>
        <w:rPr>
          <w:rFonts w:ascii="Arial" w:hAnsi="Arial" w:cs="Arial"/>
          <w:b/>
        </w:rPr>
      </w:pPr>
    </w:p>
    <w:p w:rsidR="00D6535E" w:rsidRPr="001E04D1" w:rsidRDefault="00D6535E" w:rsidP="00D6535E">
      <w:pPr>
        <w:jc w:val="both"/>
        <w:rPr>
          <w:rFonts w:ascii="Arial" w:hAnsi="Arial" w:cs="Arial"/>
          <w:b/>
        </w:rPr>
      </w:pPr>
      <w:r w:rsidRPr="001E04D1">
        <w:rPr>
          <w:rFonts w:ascii="Arial" w:hAnsi="Arial" w:cs="Arial"/>
          <w:b/>
        </w:rPr>
        <w:t>Risk Assessment Statement</w:t>
      </w:r>
    </w:p>
    <w:p w:rsidR="00D6535E" w:rsidRPr="001E04D1" w:rsidRDefault="00D6535E" w:rsidP="00D6535E">
      <w:pPr>
        <w:jc w:val="both"/>
      </w:pPr>
      <w:r w:rsidRPr="001E04D1">
        <w:rPr>
          <w:rFonts w:ascii="Arial" w:hAnsi="Arial" w:cs="Arial"/>
          <w:szCs w:val="22"/>
        </w:rPr>
        <w:t xml:space="preserve">Failure to produce a Treasury </w:t>
      </w:r>
      <w:r>
        <w:rPr>
          <w:rFonts w:ascii="Arial" w:hAnsi="Arial" w:cs="Arial"/>
          <w:szCs w:val="22"/>
        </w:rPr>
        <w:t xml:space="preserve">Management </w:t>
      </w:r>
      <w:r w:rsidRPr="001E04D1">
        <w:rPr>
          <w:rFonts w:ascii="Arial" w:hAnsi="Arial" w:cs="Arial"/>
          <w:szCs w:val="22"/>
        </w:rPr>
        <w:t xml:space="preserve">Strategy Statement would mean that the Council would not be complying with the </w:t>
      </w:r>
      <w:r>
        <w:rPr>
          <w:rFonts w:ascii="Arial" w:hAnsi="Arial" w:cs="Arial"/>
          <w:szCs w:val="22"/>
        </w:rPr>
        <w:t>CIPFA Treasury Management and Prudential Codes of Practice</w:t>
      </w:r>
      <w:r w:rsidRPr="001E04D1">
        <w:rPr>
          <w:rFonts w:ascii="Arial" w:hAnsi="Arial" w:cs="Arial"/>
          <w:szCs w:val="22"/>
        </w:rPr>
        <w:t xml:space="preserve"> and may</w:t>
      </w:r>
      <w:r>
        <w:rPr>
          <w:rFonts w:ascii="Arial" w:hAnsi="Arial" w:cs="Arial"/>
          <w:szCs w:val="22"/>
        </w:rPr>
        <w:t>, therefore,</w:t>
      </w:r>
      <w:r w:rsidRPr="001E04D1">
        <w:rPr>
          <w:rFonts w:ascii="Arial" w:hAnsi="Arial" w:cs="Arial"/>
          <w:szCs w:val="22"/>
        </w:rPr>
        <w:t xml:space="preserve"> be at risk of </w:t>
      </w:r>
      <w:r>
        <w:rPr>
          <w:rFonts w:ascii="Arial" w:hAnsi="Arial" w:cs="Arial"/>
          <w:szCs w:val="22"/>
        </w:rPr>
        <w:t xml:space="preserve">making inappropriate investments – leading to a potential major loss of resources – or </w:t>
      </w:r>
      <w:r w:rsidRPr="001E04D1">
        <w:rPr>
          <w:rFonts w:ascii="Arial" w:hAnsi="Arial" w:cs="Arial"/>
          <w:szCs w:val="22"/>
        </w:rPr>
        <w:t xml:space="preserve">setting capital expenditure targets that would not be affordable for the Council.  </w:t>
      </w:r>
      <w:r w:rsidRPr="001E04D1">
        <w:rPr>
          <w:rFonts w:ascii="Arial" w:hAnsi="Arial" w:cs="Arial"/>
          <w:szCs w:val="22"/>
        </w:rPr>
        <w:br w:type="page"/>
      </w:r>
    </w:p>
    <w:p w:rsidR="00D6535E" w:rsidRPr="001E04D1" w:rsidRDefault="00D6535E" w:rsidP="00D6535E">
      <w:pPr>
        <w:jc w:val="right"/>
        <w:rPr>
          <w:rFonts w:ascii="Arial" w:hAnsi="Arial" w:cs="Arial"/>
          <w:b/>
        </w:rPr>
      </w:pPr>
      <w:r w:rsidRPr="001E04D1">
        <w:rPr>
          <w:rFonts w:ascii="Arial" w:hAnsi="Arial" w:cs="Arial"/>
          <w:b/>
        </w:rPr>
        <w:lastRenderedPageBreak/>
        <w:t>Appendix A</w:t>
      </w:r>
    </w:p>
    <w:p w:rsidR="00D6535E" w:rsidRPr="00F3704E" w:rsidRDefault="00D6535E" w:rsidP="00D6535E">
      <w:pPr>
        <w:rPr>
          <w:rFonts w:ascii="Arial" w:hAnsi="Arial" w:cs="Arial"/>
          <w:b/>
          <w:bCs/>
          <w:color w:val="4F81BD" w:themeColor="accent1"/>
        </w:rPr>
      </w:pPr>
    </w:p>
    <w:p w:rsidR="00D6535E" w:rsidRPr="00F3704E" w:rsidRDefault="00D6535E" w:rsidP="00D6535E">
      <w:pPr>
        <w:rPr>
          <w:rFonts w:ascii="Arial" w:hAnsi="Arial" w:cs="Arial"/>
          <w:b/>
          <w:bCs/>
        </w:rPr>
      </w:pPr>
      <w:r w:rsidRPr="00F3704E">
        <w:rPr>
          <w:rFonts w:ascii="Arial" w:hAnsi="Arial" w:cs="Arial"/>
          <w:b/>
          <w:bCs/>
        </w:rPr>
        <w:t xml:space="preserve">Treasury Management Strategy for </w:t>
      </w:r>
      <w:r w:rsidR="009568E6">
        <w:rPr>
          <w:rFonts w:ascii="Arial" w:hAnsi="Arial" w:cs="Arial"/>
          <w:b/>
          <w:bCs/>
        </w:rPr>
        <w:t>2016/17</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numPr>
          <w:ilvl w:val="0"/>
          <w:numId w:val="10"/>
        </w:numPr>
        <w:ind w:hanging="720"/>
        <w:jc w:val="both"/>
        <w:rPr>
          <w:rFonts w:ascii="Arial" w:hAnsi="Arial" w:cs="Arial"/>
        </w:rPr>
      </w:pPr>
      <w:r w:rsidRPr="00F3704E">
        <w:rPr>
          <w:rFonts w:ascii="Arial" w:hAnsi="Arial" w:cs="Arial"/>
        </w:rPr>
        <w:t xml:space="preserve">The </w:t>
      </w:r>
      <w:r>
        <w:rPr>
          <w:rFonts w:ascii="Arial" w:hAnsi="Arial" w:cs="Arial"/>
        </w:rPr>
        <w:t>S</w:t>
      </w:r>
      <w:r w:rsidRPr="00F3704E">
        <w:rPr>
          <w:rFonts w:ascii="Arial" w:hAnsi="Arial" w:cs="Arial"/>
        </w:rPr>
        <w:t xml:space="preserve">trategy for </w:t>
      </w:r>
      <w:r w:rsidR="009568E6">
        <w:rPr>
          <w:rFonts w:ascii="Arial" w:hAnsi="Arial" w:cs="Arial"/>
        </w:rPr>
        <w:t>2016/17</w:t>
      </w:r>
      <w:r w:rsidRPr="00F3704E">
        <w:rPr>
          <w:rFonts w:ascii="Arial" w:hAnsi="Arial" w:cs="Arial"/>
        </w:rPr>
        <w:t xml:space="preserve"> covers two main areas:</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ind w:left="720"/>
        <w:jc w:val="both"/>
        <w:rPr>
          <w:rFonts w:ascii="Arial" w:hAnsi="Arial" w:cs="Arial"/>
          <w:b/>
          <w:bCs/>
        </w:rPr>
      </w:pPr>
      <w:r w:rsidRPr="00F3704E">
        <w:rPr>
          <w:rFonts w:ascii="Arial" w:hAnsi="Arial" w:cs="Arial"/>
          <w:b/>
          <w:bCs/>
        </w:rPr>
        <w:t>Capital Issues</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the capital plans and the prudential indicators;</w:t>
      </w:r>
    </w:p>
    <w:p w:rsidR="00D6535E" w:rsidRPr="00F3704E" w:rsidRDefault="00D6535E" w:rsidP="00D6535E">
      <w:pPr>
        <w:pStyle w:val="BodyText"/>
        <w:numPr>
          <w:ilvl w:val="0"/>
          <w:numId w:val="5"/>
        </w:numPr>
        <w:jc w:val="both"/>
        <w:rPr>
          <w:rFonts w:ascii="Arial" w:hAnsi="Arial" w:cs="Arial"/>
        </w:rPr>
      </w:pPr>
      <w:proofErr w:type="gramStart"/>
      <w:r w:rsidRPr="00F3704E">
        <w:rPr>
          <w:rFonts w:ascii="Arial" w:hAnsi="Arial" w:cs="Arial"/>
        </w:rPr>
        <w:t>the</w:t>
      </w:r>
      <w:proofErr w:type="gramEnd"/>
      <w:r w:rsidRPr="00F3704E">
        <w:rPr>
          <w:rFonts w:ascii="Arial" w:hAnsi="Arial" w:cs="Arial"/>
        </w:rPr>
        <w:t xml:space="preserve"> minimum revenue provision (MRP) strategy.</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ind w:left="1440" w:hanging="720"/>
        <w:jc w:val="both"/>
        <w:rPr>
          <w:rFonts w:ascii="Arial" w:hAnsi="Arial" w:cs="Arial"/>
          <w:b/>
          <w:bCs/>
        </w:rPr>
      </w:pPr>
      <w:r w:rsidRPr="00F3704E">
        <w:rPr>
          <w:rFonts w:ascii="Arial" w:hAnsi="Arial" w:cs="Arial"/>
          <w:b/>
          <w:bCs/>
        </w:rPr>
        <w:t>Treasury management Issues</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the current treasury position;</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treasury indicators which will limit the treasury risk and activities of the Council;</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prospects for interest rates;</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the borrowing strategy;</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policy on borrowing in advance of need;</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the investment strategy;</w:t>
      </w:r>
    </w:p>
    <w:p w:rsidR="00D6535E" w:rsidRPr="00F3704E" w:rsidRDefault="00D6535E" w:rsidP="00D6535E">
      <w:pPr>
        <w:pStyle w:val="BodyText"/>
        <w:numPr>
          <w:ilvl w:val="0"/>
          <w:numId w:val="5"/>
        </w:numPr>
        <w:jc w:val="both"/>
        <w:rPr>
          <w:rFonts w:ascii="Arial" w:hAnsi="Arial" w:cs="Arial"/>
        </w:rPr>
      </w:pPr>
      <w:r w:rsidRPr="00F3704E">
        <w:rPr>
          <w:rFonts w:ascii="Arial" w:hAnsi="Arial" w:cs="Arial"/>
        </w:rPr>
        <w:t>creditworthiness policy; and</w:t>
      </w:r>
    </w:p>
    <w:p w:rsidR="00D6535E" w:rsidRPr="00F3704E" w:rsidRDefault="00D6535E" w:rsidP="00D6535E">
      <w:pPr>
        <w:pStyle w:val="BodyText"/>
        <w:numPr>
          <w:ilvl w:val="0"/>
          <w:numId w:val="5"/>
        </w:numPr>
        <w:jc w:val="both"/>
        <w:rPr>
          <w:rFonts w:ascii="Arial" w:hAnsi="Arial" w:cs="Arial"/>
        </w:rPr>
      </w:pPr>
      <w:proofErr w:type="gramStart"/>
      <w:r w:rsidRPr="00F3704E">
        <w:rPr>
          <w:rFonts w:ascii="Arial" w:hAnsi="Arial" w:cs="Arial"/>
        </w:rPr>
        <w:t>policy</w:t>
      </w:r>
      <w:proofErr w:type="gramEnd"/>
      <w:r w:rsidRPr="00F3704E">
        <w:rPr>
          <w:rFonts w:ascii="Arial" w:hAnsi="Arial" w:cs="Arial"/>
        </w:rPr>
        <w:t xml:space="preserve"> on use of external service providers.</w:t>
      </w:r>
    </w:p>
    <w:p w:rsidR="00D6535E" w:rsidRPr="00F3704E" w:rsidRDefault="00D6535E" w:rsidP="00D6535E">
      <w:pPr>
        <w:pStyle w:val="BodyText"/>
        <w:ind w:left="720" w:hanging="720"/>
        <w:jc w:val="both"/>
        <w:rPr>
          <w:rFonts w:ascii="Arial" w:hAnsi="Arial" w:cs="Arial"/>
        </w:rPr>
      </w:pPr>
    </w:p>
    <w:p w:rsidR="00D6535E" w:rsidRPr="00F3704E" w:rsidRDefault="00D6535E" w:rsidP="00D6535E">
      <w:pPr>
        <w:pStyle w:val="BodyText"/>
        <w:numPr>
          <w:ilvl w:val="0"/>
          <w:numId w:val="10"/>
        </w:numPr>
        <w:ind w:hanging="720"/>
        <w:jc w:val="both"/>
        <w:rPr>
          <w:rFonts w:ascii="Arial" w:hAnsi="Arial" w:cs="Arial"/>
        </w:rPr>
      </w:pPr>
      <w:r w:rsidRPr="00F3704E">
        <w:rPr>
          <w:rFonts w:ascii="Arial" w:hAnsi="Arial" w:cs="Arial"/>
        </w:rPr>
        <w:t>These elements cover the requirements of the Local Government Act 2003, the CIPFA Prudential Code, the CLG MRP Guidance, the CIPFA Treasury Management Code and the CLG Investment Guidance.</w:t>
      </w:r>
      <w:r>
        <w:rPr>
          <w:rFonts w:ascii="Arial" w:hAnsi="Arial" w:cs="Arial"/>
        </w:rPr>
        <w:t xml:space="preserve"> </w:t>
      </w:r>
    </w:p>
    <w:p w:rsidR="00D6535E" w:rsidRPr="00F3704E" w:rsidRDefault="00D6535E" w:rsidP="00D6535E">
      <w:pPr>
        <w:tabs>
          <w:tab w:val="num" w:pos="540"/>
        </w:tabs>
        <w:ind w:left="720" w:hanging="720"/>
        <w:jc w:val="both"/>
        <w:rPr>
          <w:rFonts w:ascii="Arial" w:hAnsi="Arial" w:cs="Arial"/>
          <w:color w:val="4F81BD" w:themeColor="accent1"/>
        </w:rPr>
      </w:pPr>
    </w:p>
    <w:p w:rsidR="00D6535E" w:rsidRPr="0092287B" w:rsidRDefault="00D6535E" w:rsidP="00D6535E">
      <w:pPr>
        <w:rPr>
          <w:rFonts w:ascii="Arial" w:hAnsi="Arial" w:cs="Arial"/>
          <w:b/>
          <w:bCs/>
        </w:rPr>
      </w:pPr>
      <w:r w:rsidRPr="0092287B">
        <w:rPr>
          <w:rFonts w:ascii="Arial" w:hAnsi="Arial" w:cs="Arial"/>
          <w:b/>
          <w:bCs/>
        </w:rPr>
        <w:t xml:space="preserve">The Capital Prudential Indicators </w:t>
      </w:r>
      <w:r w:rsidR="009568E6">
        <w:rPr>
          <w:rFonts w:ascii="Arial" w:hAnsi="Arial" w:cs="Arial"/>
          <w:b/>
          <w:bCs/>
        </w:rPr>
        <w:t>2016/17</w:t>
      </w:r>
      <w:r w:rsidRPr="0092287B">
        <w:rPr>
          <w:rFonts w:ascii="Arial" w:hAnsi="Arial" w:cs="Arial"/>
          <w:b/>
          <w:bCs/>
        </w:rPr>
        <w:t xml:space="preserve"> – 201</w:t>
      </w:r>
      <w:r>
        <w:rPr>
          <w:rFonts w:ascii="Arial" w:hAnsi="Arial" w:cs="Arial"/>
          <w:b/>
          <w:bCs/>
        </w:rPr>
        <w:t>8</w:t>
      </w:r>
      <w:r w:rsidR="009568E6">
        <w:rPr>
          <w:rFonts w:ascii="Arial" w:hAnsi="Arial" w:cs="Arial"/>
          <w:b/>
          <w:bCs/>
        </w:rPr>
        <w:t>/19</w:t>
      </w:r>
    </w:p>
    <w:p w:rsidR="00D6535E" w:rsidRPr="0092287B" w:rsidRDefault="00D6535E" w:rsidP="00D6535E">
      <w:pPr>
        <w:rPr>
          <w:rFonts w:ascii="Arial" w:hAnsi="Arial" w:cs="Arial"/>
          <w:b/>
          <w:bCs/>
        </w:rPr>
      </w:pPr>
    </w:p>
    <w:p w:rsidR="00D6535E" w:rsidRPr="0092287B" w:rsidRDefault="00D6535E" w:rsidP="00D6535E">
      <w:pPr>
        <w:pStyle w:val="BodyText"/>
        <w:numPr>
          <w:ilvl w:val="0"/>
          <w:numId w:val="10"/>
        </w:numPr>
        <w:ind w:hanging="720"/>
        <w:jc w:val="both"/>
        <w:rPr>
          <w:rFonts w:ascii="Arial" w:hAnsi="Arial" w:cs="Arial"/>
        </w:rPr>
      </w:pPr>
      <w:r w:rsidRPr="0092287B">
        <w:rPr>
          <w:rFonts w:ascii="Arial" w:hAnsi="Arial" w:cs="Arial"/>
        </w:rPr>
        <w:t xml:space="preserve">The Council’s capital expenditure plans are the key driver of treasury management activity.  The output of the capital expenditure plans </w:t>
      </w:r>
      <w:r>
        <w:rPr>
          <w:rFonts w:ascii="Arial" w:hAnsi="Arial" w:cs="Arial"/>
        </w:rPr>
        <w:t>is</w:t>
      </w:r>
      <w:r w:rsidRPr="0092287B">
        <w:rPr>
          <w:rFonts w:ascii="Arial" w:hAnsi="Arial" w:cs="Arial"/>
        </w:rPr>
        <w:t xml:space="preserve"> reflected in prudential indicators, which are designed to assist Members</w:t>
      </w:r>
      <w:r>
        <w:rPr>
          <w:rFonts w:ascii="Arial" w:hAnsi="Arial" w:cs="Arial"/>
        </w:rPr>
        <w:t>’</w:t>
      </w:r>
      <w:r w:rsidRPr="0092287B">
        <w:rPr>
          <w:rFonts w:ascii="Arial" w:hAnsi="Arial" w:cs="Arial"/>
        </w:rPr>
        <w:t xml:space="preserve"> overview and confirm </w:t>
      </w:r>
      <w:r>
        <w:rPr>
          <w:rFonts w:ascii="Arial" w:hAnsi="Arial" w:cs="Arial"/>
        </w:rPr>
        <w:t xml:space="preserve">the prudence, sustainability and affordability of </w:t>
      </w:r>
      <w:r w:rsidRPr="0092287B">
        <w:rPr>
          <w:rFonts w:ascii="Arial" w:hAnsi="Arial" w:cs="Arial"/>
        </w:rPr>
        <w:t>capital expenditure plans.</w:t>
      </w:r>
    </w:p>
    <w:p w:rsidR="00D6535E" w:rsidRPr="00F3704E" w:rsidRDefault="00D6535E" w:rsidP="00D6535E">
      <w:pPr>
        <w:pStyle w:val="BodyText"/>
        <w:ind w:left="720"/>
        <w:jc w:val="both"/>
        <w:rPr>
          <w:rFonts w:ascii="Arial" w:hAnsi="Arial" w:cs="Arial"/>
          <w:color w:val="4F81BD" w:themeColor="accent1"/>
        </w:rPr>
      </w:pPr>
    </w:p>
    <w:p w:rsidR="00D6535E" w:rsidRPr="0092287B" w:rsidRDefault="00D6535E" w:rsidP="00D6535E">
      <w:pPr>
        <w:pStyle w:val="BodyText"/>
        <w:ind w:left="720"/>
        <w:jc w:val="both"/>
        <w:rPr>
          <w:rFonts w:ascii="Arial" w:hAnsi="Arial" w:cs="Arial"/>
        </w:rPr>
      </w:pPr>
      <w:proofErr w:type="gramStart"/>
      <w:r w:rsidRPr="0092287B">
        <w:rPr>
          <w:rFonts w:ascii="Arial" w:hAnsi="Arial" w:cs="Arial"/>
          <w:b/>
          <w:bCs/>
        </w:rPr>
        <w:t>Capital Expenditure</w:t>
      </w:r>
      <w:r w:rsidR="003F2B88">
        <w:rPr>
          <w:rFonts w:ascii="Arial" w:hAnsi="Arial" w:cs="Arial"/>
        </w:rPr>
        <w:t>.</w:t>
      </w:r>
      <w:proofErr w:type="gramEnd"/>
      <w:r w:rsidR="003F2B88">
        <w:rPr>
          <w:rFonts w:ascii="Arial" w:hAnsi="Arial" w:cs="Arial"/>
        </w:rPr>
        <w:t xml:space="preserve"> This P</w:t>
      </w:r>
      <w:r w:rsidRPr="0092287B">
        <w:rPr>
          <w:rFonts w:ascii="Arial" w:hAnsi="Arial" w:cs="Arial"/>
        </w:rPr>
        <w:t>rudential Indicator is a summary of the Council’s capital expenditure plan</w:t>
      </w:r>
      <w:r>
        <w:rPr>
          <w:rFonts w:ascii="Arial" w:hAnsi="Arial" w:cs="Arial"/>
        </w:rPr>
        <w:t>s, both those agreed previously and those forming part of the</w:t>
      </w:r>
      <w:r w:rsidRPr="0092287B">
        <w:rPr>
          <w:rFonts w:ascii="Arial" w:hAnsi="Arial" w:cs="Arial"/>
        </w:rPr>
        <w:t xml:space="preserve"> budget cycle. </w:t>
      </w:r>
    </w:p>
    <w:p w:rsidR="00D6535E" w:rsidRPr="00F3704E" w:rsidRDefault="00D6535E" w:rsidP="00D6535E">
      <w:pPr>
        <w:pStyle w:val="BodyText"/>
        <w:ind w:left="720"/>
        <w:jc w:val="both"/>
        <w:rPr>
          <w:rFonts w:ascii="Arial" w:hAnsi="Arial" w:cs="Arial"/>
          <w:color w:val="4F81BD" w:themeColor="accent1"/>
        </w:rPr>
      </w:pPr>
    </w:p>
    <w:p w:rsidR="00D6535E" w:rsidRPr="00F3704E" w:rsidRDefault="00D6535E" w:rsidP="00D6535E">
      <w:pPr>
        <w:pStyle w:val="BodyText"/>
        <w:ind w:left="720"/>
        <w:jc w:val="both"/>
        <w:rPr>
          <w:rFonts w:ascii="Arial" w:hAnsi="Arial" w:cs="Arial"/>
          <w:color w:val="4F81BD" w:themeColor="accent1"/>
        </w:rPr>
      </w:pPr>
      <w:r w:rsidRPr="0092287B">
        <w:rPr>
          <w:rFonts w:ascii="Arial" w:hAnsi="Arial" w:cs="Arial"/>
        </w:rPr>
        <w:t>The table below summarises the capital expenditure plans and how these plans are being financed by capital or revenue resources.  Any shortfall of resources results in a borrowing need</w:t>
      </w:r>
      <w:r w:rsidRPr="00F3704E">
        <w:rPr>
          <w:rFonts w:ascii="Arial" w:hAnsi="Arial" w:cs="Arial"/>
          <w:color w:val="4F81BD" w:themeColor="accent1"/>
        </w:rPr>
        <w:t xml:space="preserve">. </w:t>
      </w:r>
    </w:p>
    <w:p w:rsidR="00D6535E" w:rsidRPr="00F3704E" w:rsidRDefault="00D6535E" w:rsidP="00D6535E">
      <w:pPr>
        <w:pStyle w:val="BodyText"/>
        <w:ind w:left="720"/>
        <w:jc w:val="both"/>
        <w:rPr>
          <w:rFonts w:ascii="Arial" w:hAnsi="Arial" w:cs="Arial"/>
          <w:color w:val="4F81BD" w:themeColor="accent1"/>
        </w:rPr>
      </w:pPr>
    </w:p>
    <w:p w:rsidR="00D6535E" w:rsidRPr="00A6099F" w:rsidRDefault="00D6535E" w:rsidP="00D6535E">
      <w:pPr>
        <w:pStyle w:val="BodyText"/>
        <w:ind w:left="720"/>
        <w:jc w:val="both"/>
        <w:rPr>
          <w:rFonts w:ascii="Arial" w:hAnsi="Arial" w:cs="Arial"/>
          <w:color w:val="000000" w:themeColor="text1"/>
        </w:rPr>
      </w:pPr>
      <w:r w:rsidRPr="00A6099F">
        <w:rPr>
          <w:rFonts w:ascii="Arial" w:hAnsi="Arial" w:cs="Arial"/>
          <w:color w:val="000000" w:themeColor="text1"/>
        </w:rPr>
        <w:t>There are a number of projects contained in the Corporate Plan that have no funding identified. The current policy is that schemes that are unfunded will not be released until funding is agreed. For this reason</w:t>
      </w:r>
      <w:r>
        <w:rPr>
          <w:rFonts w:ascii="Arial" w:hAnsi="Arial" w:cs="Arial"/>
          <w:color w:val="000000" w:themeColor="text1"/>
        </w:rPr>
        <w:t>,</w:t>
      </w:r>
      <w:r w:rsidRPr="00A6099F">
        <w:rPr>
          <w:rFonts w:ascii="Arial" w:hAnsi="Arial" w:cs="Arial"/>
          <w:color w:val="000000" w:themeColor="text1"/>
        </w:rPr>
        <w:t xml:space="preserve"> at </w:t>
      </w:r>
      <w:r>
        <w:rPr>
          <w:rFonts w:ascii="Arial" w:hAnsi="Arial" w:cs="Arial"/>
          <w:color w:val="000000" w:themeColor="text1"/>
        </w:rPr>
        <w:t xml:space="preserve">the time of writing this report, </w:t>
      </w:r>
      <w:r w:rsidRPr="00A6099F">
        <w:rPr>
          <w:rFonts w:ascii="Arial" w:hAnsi="Arial" w:cs="Arial"/>
          <w:color w:val="000000" w:themeColor="text1"/>
        </w:rPr>
        <w:t xml:space="preserve">no shortfall of funding is shown.  </w:t>
      </w:r>
    </w:p>
    <w:p w:rsidR="00D6535E" w:rsidRPr="00F3704E" w:rsidRDefault="00D6535E" w:rsidP="00D6535E">
      <w:pPr>
        <w:pStyle w:val="BodyText"/>
        <w:spacing w:before="120" w:after="120"/>
        <w:jc w:val="both"/>
        <w:rPr>
          <w:rFonts w:ascii="Arial" w:hAnsi="Arial" w:cs="Arial"/>
          <w:color w:val="4F81BD" w:themeColor="accent1"/>
        </w:rPr>
      </w:pPr>
      <w:r w:rsidRPr="00A6099F">
        <w:rPr>
          <w:rFonts w:ascii="Arial" w:hAnsi="Arial" w:cs="Arial"/>
          <w:color w:val="000000" w:themeColor="text1"/>
        </w:rPr>
        <w:br w:type="page"/>
      </w:r>
    </w:p>
    <w:tbl>
      <w:tblPr>
        <w:tblW w:w="8425" w:type="dxa"/>
        <w:jc w:val="right"/>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224"/>
        <w:gridCol w:w="1224"/>
        <w:gridCol w:w="1224"/>
        <w:gridCol w:w="1224"/>
        <w:gridCol w:w="1269"/>
      </w:tblGrid>
      <w:tr w:rsidR="00D6535E" w:rsidRPr="00C623AC" w:rsidTr="00CD4006">
        <w:trPr>
          <w:jc w:val="right"/>
        </w:trPr>
        <w:tc>
          <w:tcPr>
            <w:tcW w:w="2260" w:type="dxa"/>
            <w:shd w:val="clear" w:color="auto" w:fill="BFBFBF"/>
          </w:tcPr>
          <w:p w:rsidR="00D6535E" w:rsidRPr="00C623AC" w:rsidRDefault="00D6535E" w:rsidP="00CD4006">
            <w:pPr>
              <w:pStyle w:val="BodyText"/>
              <w:rPr>
                <w:rFonts w:ascii="Arial" w:hAnsi="Arial" w:cs="Arial"/>
                <w:b/>
                <w:bCs/>
              </w:rPr>
            </w:pPr>
            <w:r w:rsidRPr="00C623AC">
              <w:rPr>
                <w:rFonts w:ascii="Arial" w:hAnsi="Arial" w:cs="Arial"/>
                <w:b/>
                <w:bCs/>
              </w:rPr>
              <w:lastRenderedPageBreak/>
              <w:t>Capital Expenditure</w:t>
            </w:r>
          </w:p>
          <w:p w:rsidR="00D6535E" w:rsidRPr="00C623AC" w:rsidRDefault="00D6535E" w:rsidP="00CD4006">
            <w:pPr>
              <w:pStyle w:val="BodyText"/>
              <w:rPr>
                <w:rFonts w:ascii="Arial" w:hAnsi="Arial" w:cs="Arial"/>
              </w:rPr>
            </w:pPr>
            <w:r w:rsidRPr="00C623AC">
              <w:rPr>
                <w:rFonts w:ascii="Arial" w:hAnsi="Arial" w:cs="Arial"/>
              </w:rPr>
              <w:t>£m</w:t>
            </w:r>
          </w:p>
        </w:tc>
        <w:tc>
          <w:tcPr>
            <w:tcW w:w="1224" w:type="dxa"/>
            <w:shd w:val="clear" w:color="auto" w:fill="BFBFBF"/>
          </w:tcPr>
          <w:p w:rsidR="00D6535E" w:rsidRPr="00C623AC" w:rsidRDefault="009568E6" w:rsidP="00CD4006">
            <w:pPr>
              <w:pStyle w:val="BodyText"/>
              <w:jc w:val="center"/>
              <w:rPr>
                <w:rFonts w:ascii="Arial" w:hAnsi="Arial" w:cs="Arial"/>
                <w:b/>
                <w:bCs/>
              </w:rPr>
            </w:pPr>
            <w:r>
              <w:rPr>
                <w:rFonts w:ascii="Arial" w:hAnsi="Arial" w:cs="Arial"/>
                <w:b/>
                <w:bCs/>
              </w:rPr>
              <w:t>2014/15</w:t>
            </w:r>
          </w:p>
          <w:p w:rsidR="00D6535E" w:rsidRPr="00C623AC" w:rsidRDefault="00D6535E" w:rsidP="00CD4006">
            <w:pPr>
              <w:pStyle w:val="BodyText"/>
              <w:jc w:val="center"/>
              <w:rPr>
                <w:rFonts w:ascii="Arial" w:hAnsi="Arial" w:cs="Arial"/>
                <w:b/>
                <w:bCs/>
              </w:rPr>
            </w:pPr>
            <w:r w:rsidRPr="00C623AC">
              <w:rPr>
                <w:rFonts w:ascii="Arial" w:hAnsi="Arial" w:cs="Arial"/>
                <w:b/>
                <w:bCs/>
              </w:rPr>
              <w:t>Actual</w:t>
            </w:r>
          </w:p>
          <w:p w:rsidR="00D6535E" w:rsidRPr="00C623AC" w:rsidRDefault="00D6535E" w:rsidP="00CD4006">
            <w:pPr>
              <w:pStyle w:val="BodyText"/>
              <w:jc w:val="center"/>
              <w:rPr>
                <w:rFonts w:ascii="Arial" w:hAnsi="Arial" w:cs="Arial"/>
                <w:b/>
                <w:bCs/>
              </w:rPr>
            </w:pPr>
            <w:r w:rsidRPr="00C623AC">
              <w:rPr>
                <w:rFonts w:ascii="Arial" w:hAnsi="Arial" w:cs="Arial"/>
                <w:b/>
                <w:bCs/>
              </w:rPr>
              <w:t>£’000</w:t>
            </w:r>
          </w:p>
        </w:tc>
        <w:tc>
          <w:tcPr>
            <w:tcW w:w="1224" w:type="dxa"/>
            <w:shd w:val="clear" w:color="auto" w:fill="BFBFBF"/>
          </w:tcPr>
          <w:p w:rsidR="00D6535E" w:rsidRPr="00C623AC" w:rsidRDefault="009568E6" w:rsidP="00CD4006">
            <w:pPr>
              <w:pStyle w:val="BodyText"/>
              <w:jc w:val="center"/>
              <w:rPr>
                <w:rFonts w:ascii="Arial" w:hAnsi="Arial" w:cs="Arial"/>
                <w:b/>
                <w:bCs/>
              </w:rPr>
            </w:pPr>
            <w:r>
              <w:rPr>
                <w:rFonts w:ascii="Arial" w:hAnsi="Arial" w:cs="Arial"/>
                <w:b/>
                <w:bCs/>
              </w:rPr>
              <w:t>2015/16</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p w:rsidR="00D6535E" w:rsidRPr="00C623AC" w:rsidRDefault="00D6535E" w:rsidP="00CD4006">
            <w:pPr>
              <w:pStyle w:val="BodyText"/>
              <w:jc w:val="center"/>
              <w:rPr>
                <w:rFonts w:ascii="Arial" w:hAnsi="Arial" w:cs="Arial"/>
                <w:b/>
                <w:bCs/>
              </w:rPr>
            </w:pPr>
            <w:r w:rsidRPr="00C623AC">
              <w:rPr>
                <w:rFonts w:ascii="Arial" w:hAnsi="Arial" w:cs="Arial"/>
                <w:b/>
                <w:bCs/>
              </w:rPr>
              <w:t>£’000</w:t>
            </w:r>
          </w:p>
        </w:tc>
        <w:tc>
          <w:tcPr>
            <w:tcW w:w="1224" w:type="dxa"/>
            <w:shd w:val="clear" w:color="auto" w:fill="BFBFBF"/>
          </w:tcPr>
          <w:p w:rsidR="00D6535E" w:rsidRPr="00C623AC" w:rsidRDefault="009568E6" w:rsidP="00CD4006">
            <w:pPr>
              <w:pStyle w:val="BodyText"/>
              <w:jc w:val="center"/>
              <w:rPr>
                <w:rFonts w:ascii="Arial" w:hAnsi="Arial" w:cs="Arial"/>
                <w:b/>
                <w:bCs/>
              </w:rPr>
            </w:pPr>
            <w:r>
              <w:rPr>
                <w:rFonts w:ascii="Arial" w:hAnsi="Arial" w:cs="Arial"/>
                <w:b/>
                <w:bCs/>
              </w:rPr>
              <w:t>2016/17</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p w:rsidR="00D6535E" w:rsidRPr="00C623AC" w:rsidRDefault="00D6535E" w:rsidP="00CD4006">
            <w:pPr>
              <w:pStyle w:val="BodyText"/>
              <w:jc w:val="center"/>
              <w:rPr>
                <w:rFonts w:ascii="Arial" w:hAnsi="Arial" w:cs="Arial"/>
                <w:b/>
                <w:bCs/>
              </w:rPr>
            </w:pPr>
            <w:r w:rsidRPr="00C623AC">
              <w:rPr>
                <w:rFonts w:ascii="Arial" w:hAnsi="Arial" w:cs="Arial"/>
                <w:b/>
                <w:bCs/>
              </w:rPr>
              <w:t>£’000</w:t>
            </w:r>
          </w:p>
        </w:tc>
        <w:tc>
          <w:tcPr>
            <w:tcW w:w="1224" w:type="dxa"/>
            <w:shd w:val="clear" w:color="auto" w:fill="BFBFBF"/>
          </w:tcPr>
          <w:p w:rsidR="00D6535E" w:rsidRPr="00C623AC" w:rsidRDefault="009568E6" w:rsidP="00CD4006">
            <w:pPr>
              <w:pStyle w:val="BodyText"/>
              <w:jc w:val="center"/>
              <w:rPr>
                <w:rFonts w:ascii="Arial" w:hAnsi="Arial" w:cs="Arial"/>
                <w:b/>
                <w:bCs/>
              </w:rPr>
            </w:pPr>
            <w:r>
              <w:rPr>
                <w:rFonts w:ascii="Arial" w:hAnsi="Arial" w:cs="Arial"/>
                <w:b/>
                <w:bCs/>
              </w:rPr>
              <w:t>2017/18</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p w:rsidR="00D6535E" w:rsidRPr="00C623AC" w:rsidRDefault="00D6535E" w:rsidP="00CD4006">
            <w:pPr>
              <w:pStyle w:val="BodyText"/>
              <w:jc w:val="center"/>
              <w:rPr>
                <w:rFonts w:ascii="Arial" w:hAnsi="Arial" w:cs="Arial"/>
                <w:b/>
                <w:bCs/>
              </w:rPr>
            </w:pPr>
            <w:r w:rsidRPr="00C623AC">
              <w:rPr>
                <w:rFonts w:ascii="Arial" w:hAnsi="Arial" w:cs="Arial"/>
                <w:b/>
                <w:bCs/>
              </w:rPr>
              <w:t>£’000</w:t>
            </w:r>
          </w:p>
        </w:tc>
        <w:tc>
          <w:tcPr>
            <w:tcW w:w="1269" w:type="dxa"/>
            <w:shd w:val="clear" w:color="auto" w:fill="BFBFBF"/>
          </w:tcPr>
          <w:p w:rsidR="00D6535E" w:rsidRPr="00C623AC" w:rsidRDefault="009568E6" w:rsidP="00CD4006">
            <w:pPr>
              <w:pStyle w:val="BodyText"/>
              <w:jc w:val="center"/>
              <w:rPr>
                <w:rFonts w:ascii="Arial" w:hAnsi="Arial" w:cs="Arial"/>
                <w:b/>
                <w:bCs/>
              </w:rPr>
            </w:pPr>
            <w:r>
              <w:rPr>
                <w:rFonts w:ascii="Arial" w:hAnsi="Arial" w:cs="Arial"/>
                <w:b/>
                <w:bCs/>
              </w:rPr>
              <w:t>2018/19</w:t>
            </w:r>
            <w:r w:rsidR="00D6535E" w:rsidRPr="00C623AC">
              <w:rPr>
                <w:rFonts w:ascii="Arial" w:hAnsi="Arial" w:cs="Arial"/>
                <w:b/>
                <w:bCs/>
              </w:rPr>
              <w:t xml:space="preserve"> Estimate£’000</w:t>
            </w:r>
          </w:p>
        </w:tc>
      </w:tr>
      <w:tr w:rsidR="00752831" w:rsidRPr="00C623AC" w:rsidTr="00CD4006">
        <w:trPr>
          <w:jc w:val="right"/>
        </w:trPr>
        <w:tc>
          <w:tcPr>
            <w:tcW w:w="2260" w:type="dxa"/>
          </w:tcPr>
          <w:p w:rsidR="00752831" w:rsidRPr="00C623AC" w:rsidRDefault="00752831" w:rsidP="00CD4006">
            <w:pPr>
              <w:pStyle w:val="BodyText"/>
              <w:rPr>
                <w:rFonts w:ascii="Arial" w:hAnsi="Arial" w:cs="Arial"/>
              </w:rPr>
            </w:pPr>
            <w:r w:rsidRPr="00C623AC">
              <w:rPr>
                <w:rFonts w:ascii="Arial" w:hAnsi="Arial" w:cs="Arial"/>
              </w:rPr>
              <w:t>Total Capital Expenditure</w:t>
            </w:r>
          </w:p>
        </w:tc>
        <w:tc>
          <w:tcPr>
            <w:tcW w:w="1224" w:type="dxa"/>
            <w:vAlign w:val="center"/>
          </w:tcPr>
          <w:p w:rsidR="00752831" w:rsidRDefault="00752831">
            <w:pPr>
              <w:jc w:val="right"/>
              <w:rPr>
                <w:rFonts w:ascii="Arial" w:hAnsi="Arial" w:cs="Arial"/>
                <w:color w:val="000000"/>
              </w:rPr>
            </w:pPr>
            <w:r>
              <w:rPr>
                <w:rFonts w:ascii="Arial" w:hAnsi="Arial" w:cs="Arial"/>
                <w:color w:val="000000"/>
              </w:rPr>
              <w:t>2,158</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2,696</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700</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701</w:t>
            </w:r>
          </w:p>
        </w:tc>
        <w:tc>
          <w:tcPr>
            <w:tcW w:w="1269" w:type="dxa"/>
            <w:vAlign w:val="center"/>
          </w:tcPr>
          <w:p w:rsidR="00752831" w:rsidRDefault="00752831">
            <w:pPr>
              <w:jc w:val="right"/>
              <w:rPr>
                <w:rFonts w:ascii="Arial" w:hAnsi="Arial" w:cs="Arial"/>
                <w:color w:val="000000"/>
              </w:rPr>
            </w:pPr>
            <w:r>
              <w:rPr>
                <w:rFonts w:ascii="Arial" w:hAnsi="Arial" w:cs="Arial"/>
                <w:color w:val="000000" w:themeColor="text1"/>
              </w:rPr>
              <w:t>637</w:t>
            </w:r>
          </w:p>
        </w:tc>
      </w:tr>
      <w:tr w:rsidR="00752831" w:rsidRPr="00C623AC" w:rsidTr="00CD4006">
        <w:trPr>
          <w:jc w:val="right"/>
        </w:trPr>
        <w:tc>
          <w:tcPr>
            <w:tcW w:w="2260" w:type="dxa"/>
          </w:tcPr>
          <w:p w:rsidR="00752831" w:rsidRPr="00C623AC" w:rsidRDefault="00752831" w:rsidP="00CD4006">
            <w:pPr>
              <w:pStyle w:val="BodyText"/>
              <w:rPr>
                <w:rFonts w:ascii="Arial" w:hAnsi="Arial" w:cs="Arial"/>
              </w:rPr>
            </w:pPr>
          </w:p>
        </w:tc>
        <w:tc>
          <w:tcPr>
            <w:tcW w:w="1224" w:type="dxa"/>
            <w:vAlign w:val="center"/>
          </w:tcPr>
          <w:p w:rsidR="00752831" w:rsidRDefault="00752831">
            <w:pPr>
              <w:jc w:val="right"/>
              <w:rPr>
                <w:rFonts w:ascii="Arial" w:hAnsi="Arial" w:cs="Arial"/>
                <w:color w:val="000000"/>
              </w:rPr>
            </w:pPr>
            <w:r>
              <w:rPr>
                <w:rFonts w:ascii="Arial" w:hAnsi="Arial" w:cs="Arial"/>
                <w:color w:val="000000"/>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69" w:type="dxa"/>
            <w:vAlign w:val="center"/>
          </w:tcPr>
          <w:p w:rsidR="00752831" w:rsidRDefault="00752831">
            <w:pPr>
              <w:jc w:val="right"/>
              <w:rPr>
                <w:rFonts w:ascii="Arial" w:hAnsi="Arial" w:cs="Arial"/>
                <w:color w:val="000000"/>
              </w:rPr>
            </w:pPr>
            <w:r>
              <w:rPr>
                <w:rFonts w:ascii="Arial" w:hAnsi="Arial" w:cs="Arial"/>
                <w:color w:val="000000" w:themeColor="text1"/>
              </w:rPr>
              <w:t> </w:t>
            </w:r>
          </w:p>
        </w:tc>
      </w:tr>
      <w:tr w:rsidR="00752831" w:rsidRPr="00C623AC" w:rsidTr="00CD4006">
        <w:trPr>
          <w:jc w:val="right"/>
        </w:trPr>
        <w:tc>
          <w:tcPr>
            <w:tcW w:w="2260" w:type="dxa"/>
          </w:tcPr>
          <w:p w:rsidR="00752831" w:rsidRPr="00C623AC" w:rsidRDefault="00752831" w:rsidP="00CD4006">
            <w:pPr>
              <w:pStyle w:val="BodyText"/>
              <w:rPr>
                <w:rFonts w:ascii="Arial" w:hAnsi="Arial" w:cs="Arial"/>
                <w:b/>
                <w:bCs/>
              </w:rPr>
            </w:pPr>
            <w:r w:rsidRPr="00C623AC">
              <w:rPr>
                <w:rFonts w:ascii="Arial" w:hAnsi="Arial" w:cs="Arial"/>
                <w:b/>
                <w:bCs/>
              </w:rPr>
              <w:t>Financed by:</w:t>
            </w:r>
          </w:p>
        </w:tc>
        <w:tc>
          <w:tcPr>
            <w:tcW w:w="1224" w:type="dxa"/>
            <w:vAlign w:val="center"/>
          </w:tcPr>
          <w:p w:rsidR="00752831" w:rsidRDefault="00752831">
            <w:pPr>
              <w:jc w:val="right"/>
              <w:rPr>
                <w:rFonts w:ascii="Arial" w:hAnsi="Arial" w:cs="Arial"/>
                <w:color w:val="000000"/>
              </w:rPr>
            </w:pPr>
            <w:r>
              <w:rPr>
                <w:rFonts w:ascii="Arial" w:hAnsi="Arial" w:cs="Arial"/>
                <w:color w:val="000000"/>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69" w:type="dxa"/>
            <w:vAlign w:val="center"/>
          </w:tcPr>
          <w:p w:rsidR="00752831" w:rsidRDefault="00752831">
            <w:pPr>
              <w:jc w:val="right"/>
              <w:rPr>
                <w:rFonts w:ascii="Arial" w:hAnsi="Arial" w:cs="Arial"/>
                <w:color w:val="000000"/>
              </w:rPr>
            </w:pPr>
            <w:r>
              <w:rPr>
                <w:rFonts w:ascii="Arial" w:hAnsi="Arial" w:cs="Arial"/>
                <w:color w:val="000000" w:themeColor="text1"/>
              </w:rPr>
              <w:t> </w:t>
            </w:r>
          </w:p>
        </w:tc>
      </w:tr>
      <w:tr w:rsidR="00752831" w:rsidRPr="00C623AC" w:rsidTr="00CD4006">
        <w:trPr>
          <w:jc w:val="right"/>
        </w:trPr>
        <w:tc>
          <w:tcPr>
            <w:tcW w:w="2260" w:type="dxa"/>
          </w:tcPr>
          <w:p w:rsidR="00752831" w:rsidRPr="00C623AC" w:rsidRDefault="00752831" w:rsidP="00CD4006">
            <w:pPr>
              <w:pStyle w:val="BodyText"/>
              <w:rPr>
                <w:rFonts w:ascii="Arial" w:hAnsi="Arial" w:cs="Arial"/>
              </w:rPr>
            </w:pPr>
            <w:r w:rsidRPr="00C623AC">
              <w:rPr>
                <w:rFonts w:ascii="Arial" w:hAnsi="Arial" w:cs="Arial"/>
              </w:rPr>
              <w:t>Capital receipts</w:t>
            </w:r>
          </w:p>
        </w:tc>
        <w:tc>
          <w:tcPr>
            <w:tcW w:w="1224" w:type="dxa"/>
            <w:vAlign w:val="center"/>
          </w:tcPr>
          <w:p w:rsidR="00752831" w:rsidRDefault="00752831">
            <w:pPr>
              <w:jc w:val="right"/>
              <w:rPr>
                <w:rFonts w:ascii="Arial" w:hAnsi="Arial" w:cs="Arial"/>
                <w:color w:val="000000"/>
              </w:rPr>
            </w:pPr>
            <w:r>
              <w:rPr>
                <w:rFonts w:ascii="Arial" w:hAnsi="Arial" w:cs="Arial"/>
                <w:color w:val="000000"/>
              </w:rPr>
              <w:t>382</w:t>
            </w:r>
          </w:p>
        </w:tc>
        <w:tc>
          <w:tcPr>
            <w:tcW w:w="1224" w:type="dxa"/>
            <w:vAlign w:val="center"/>
          </w:tcPr>
          <w:p w:rsidR="00752831" w:rsidRDefault="00752831">
            <w:pPr>
              <w:jc w:val="right"/>
              <w:rPr>
                <w:rFonts w:ascii="Arial" w:hAnsi="Arial" w:cs="Arial"/>
                <w:color w:val="000000"/>
              </w:rPr>
            </w:pPr>
            <w:r>
              <w:rPr>
                <w:rFonts w:ascii="Arial" w:hAnsi="Arial" w:cs="Arial"/>
                <w:color w:val="000000"/>
              </w:rPr>
              <w:t>1,328</w:t>
            </w:r>
          </w:p>
        </w:tc>
        <w:tc>
          <w:tcPr>
            <w:tcW w:w="1224" w:type="dxa"/>
            <w:vAlign w:val="center"/>
          </w:tcPr>
          <w:p w:rsidR="00752831" w:rsidRDefault="00752831">
            <w:pPr>
              <w:jc w:val="right"/>
              <w:rPr>
                <w:rFonts w:ascii="Arial" w:hAnsi="Arial" w:cs="Arial"/>
                <w:color w:val="000000"/>
              </w:rPr>
            </w:pPr>
            <w:r>
              <w:rPr>
                <w:rFonts w:ascii="Arial" w:hAnsi="Arial" w:cs="Arial"/>
                <w:color w:val="000000"/>
              </w:rPr>
              <w:t>70</w:t>
            </w:r>
          </w:p>
        </w:tc>
        <w:tc>
          <w:tcPr>
            <w:tcW w:w="1224" w:type="dxa"/>
            <w:vAlign w:val="center"/>
          </w:tcPr>
          <w:p w:rsidR="00752831" w:rsidRDefault="00752831">
            <w:pPr>
              <w:jc w:val="right"/>
              <w:rPr>
                <w:rFonts w:ascii="Arial" w:hAnsi="Arial" w:cs="Arial"/>
                <w:color w:val="000000"/>
              </w:rPr>
            </w:pPr>
            <w:r>
              <w:rPr>
                <w:rFonts w:ascii="Arial" w:hAnsi="Arial" w:cs="Arial"/>
                <w:color w:val="000000"/>
              </w:rPr>
              <w:t>71</w:t>
            </w:r>
          </w:p>
        </w:tc>
        <w:tc>
          <w:tcPr>
            <w:tcW w:w="1269" w:type="dxa"/>
            <w:vAlign w:val="center"/>
          </w:tcPr>
          <w:p w:rsidR="00752831" w:rsidRDefault="00752831">
            <w:pPr>
              <w:jc w:val="right"/>
              <w:rPr>
                <w:rFonts w:ascii="Arial" w:hAnsi="Arial" w:cs="Arial"/>
                <w:color w:val="000000"/>
              </w:rPr>
            </w:pPr>
            <w:r>
              <w:rPr>
                <w:rFonts w:ascii="Arial" w:hAnsi="Arial" w:cs="Arial"/>
                <w:color w:val="000000"/>
              </w:rPr>
              <w:t>72</w:t>
            </w:r>
          </w:p>
        </w:tc>
      </w:tr>
      <w:tr w:rsidR="00752831" w:rsidRPr="00C623AC" w:rsidTr="00CD4006">
        <w:trPr>
          <w:jc w:val="right"/>
        </w:trPr>
        <w:tc>
          <w:tcPr>
            <w:tcW w:w="2260" w:type="dxa"/>
          </w:tcPr>
          <w:p w:rsidR="00752831" w:rsidRPr="00C623AC" w:rsidRDefault="00752831" w:rsidP="00CD4006">
            <w:pPr>
              <w:pStyle w:val="BodyText"/>
              <w:rPr>
                <w:rFonts w:ascii="Arial" w:hAnsi="Arial" w:cs="Arial"/>
              </w:rPr>
            </w:pPr>
            <w:r w:rsidRPr="00C623AC">
              <w:rPr>
                <w:rFonts w:ascii="Arial" w:hAnsi="Arial" w:cs="Arial"/>
              </w:rPr>
              <w:t>Capital grants</w:t>
            </w:r>
          </w:p>
        </w:tc>
        <w:tc>
          <w:tcPr>
            <w:tcW w:w="1224" w:type="dxa"/>
            <w:vAlign w:val="center"/>
          </w:tcPr>
          <w:p w:rsidR="00752831" w:rsidRDefault="00752831">
            <w:pPr>
              <w:jc w:val="right"/>
              <w:rPr>
                <w:rFonts w:ascii="Arial" w:hAnsi="Arial" w:cs="Arial"/>
                <w:color w:val="000000"/>
              </w:rPr>
            </w:pPr>
            <w:r>
              <w:rPr>
                <w:rFonts w:ascii="Arial" w:hAnsi="Arial" w:cs="Arial"/>
                <w:color w:val="000000"/>
              </w:rPr>
              <w:t>1,172</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777</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565</w:t>
            </w:r>
          </w:p>
        </w:tc>
        <w:tc>
          <w:tcPr>
            <w:tcW w:w="1224" w:type="dxa"/>
            <w:vAlign w:val="center"/>
          </w:tcPr>
          <w:p w:rsidR="00752831" w:rsidRDefault="00752831">
            <w:pPr>
              <w:jc w:val="right"/>
              <w:rPr>
                <w:rFonts w:ascii="Arial" w:hAnsi="Arial" w:cs="Arial"/>
                <w:color w:val="000000"/>
              </w:rPr>
            </w:pPr>
            <w:r>
              <w:rPr>
                <w:rFonts w:ascii="Arial" w:hAnsi="Arial" w:cs="Arial"/>
                <w:color w:val="000000"/>
              </w:rPr>
              <w:t>565</w:t>
            </w:r>
          </w:p>
        </w:tc>
        <w:tc>
          <w:tcPr>
            <w:tcW w:w="1269" w:type="dxa"/>
            <w:vAlign w:val="center"/>
          </w:tcPr>
          <w:p w:rsidR="00752831" w:rsidRDefault="00752831">
            <w:pPr>
              <w:jc w:val="right"/>
              <w:rPr>
                <w:rFonts w:ascii="Arial" w:hAnsi="Arial" w:cs="Arial"/>
                <w:color w:val="000000"/>
              </w:rPr>
            </w:pPr>
            <w:r>
              <w:rPr>
                <w:rFonts w:ascii="Arial" w:hAnsi="Arial" w:cs="Arial"/>
                <w:color w:val="000000"/>
              </w:rPr>
              <w:t>565</w:t>
            </w:r>
          </w:p>
        </w:tc>
      </w:tr>
      <w:tr w:rsidR="00752831" w:rsidRPr="00C623AC" w:rsidTr="00CD4006">
        <w:trPr>
          <w:jc w:val="right"/>
        </w:trPr>
        <w:tc>
          <w:tcPr>
            <w:tcW w:w="2260" w:type="dxa"/>
          </w:tcPr>
          <w:p w:rsidR="00752831" w:rsidRPr="00C623AC" w:rsidRDefault="00752831" w:rsidP="00CD4006">
            <w:pPr>
              <w:pStyle w:val="BodyText"/>
              <w:rPr>
                <w:rFonts w:ascii="Arial" w:hAnsi="Arial" w:cs="Arial"/>
              </w:rPr>
            </w:pPr>
            <w:r w:rsidRPr="00C623AC">
              <w:rPr>
                <w:rFonts w:ascii="Arial" w:hAnsi="Arial" w:cs="Arial"/>
              </w:rPr>
              <w:t>Capital Reserves</w:t>
            </w:r>
          </w:p>
        </w:tc>
        <w:tc>
          <w:tcPr>
            <w:tcW w:w="1224" w:type="dxa"/>
            <w:vAlign w:val="center"/>
          </w:tcPr>
          <w:p w:rsidR="00752831" w:rsidRDefault="00752831">
            <w:pPr>
              <w:jc w:val="right"/>
              <w:rPr>
                <w:rFonts w:ascii="Arial" w:hAnsi="Arial" w:cs="Arial"/>
                <w:color w:val="000000"/>
              </w:rPr>
            </w:pPr>
            <w:r>
              <w:rPr>
                <w:rFonts w:ascii="Arial" w:hAnsi="Arial" w:cs="Arial"/>
                <w:color w:val="000000"/>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69" w:type="dxa"/>
            <w:vAlign w:val="center"/>
          </w:tcPr>
          <w:p w:rsidR="00752831" w:rsidRDefault="00752831">
            <w:pPr>
              <w:jc w:val="right"/>
              <w:rPr>
                <w:rFonts w:ascii="Arial" w:hAnsi="Arial" w:cs="Arial"/>
                <w:color w:val="000000"/>
              </w:rPr>
            </w:pPr>
            <w:r>
              <w:rPr>
                <w:rFonts w:ascii="Arial" w:hAnsi="Arial" w:cs="Arial"/>
                <w:color w:val="000000" w:themeColor="text1"/>
              </w:rPr>
              <w:t> </w:t>
            </w:r>
          </w:p>
        </w:tc>
      </w:tr>
      <w:tr w:rsidR="00752831" w:rsidRPr="00C623AC" w:rsidTr="00CD4006">
        <w:trPr>
          <w:jc w:val="right"/>
        </w:trPr>
        <w:tc>
          <w:tcPr>
            <w:tcW w:w="2260" w:type="dxa"/>
          </w:tcPr>
          <w:p w:rsidR="00752831" w:rsidRPr="00C623AC" w:rsidRDefault="00752831" w:rsidP="00CD4006">
            <w:pPr>
              <w:pStyle w:val="BodyText"/>
              <w:rPr>
                <w:rFonts w:ascii="Arial" w:hAnsi="Arial" w:cs="Arial"/>
              </w:rPr>
            </w:pPr>
            <w:r w:rsidRPr="00C623AC">
              <w:rPr>
                <w:rFonts w:ascii="Arial" w:hAnsi="Arial" w:cs="Arial"/>
              </w:rPr>
              <w:t>Revenue</w:t>
            </w:r>
          </w:p>
        </w:tc>
        <w:tc>
          <w:tcPr>
            <w:tcW w:w="1224" w:type="dxa"/>
            <w:vAlign w:val="center"/>
          </w:tcPr>
          <w:p w:rsidR="00752831" w:rsidRDefault="00752831">
            <w:pPr>
              <w:jc w:val="right"/>
              <w:rPr>
                <w:rFonts w:ascii="Arial" w:hAnsi="Arial" w:cs="Arial"/>
                <w:color w:val="000000"/>
              </w:rPr>
            </w:pPr>
            <w:r>
              <w:rPr>
                <w:rFonts w:ascii="Arial" w:hAnsi="Arial" w:cs="Arial"/>
                <w:color w:val="000000"/>
              </w:rPr>
              <w:t>474</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441</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65</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65</w:t>
            </w:r>
          </w:p>
        </w:tc>
        <w:tc>
          <w:tcPr>
            <w:tcW w:w="1269" w:type="dxa"/>
            <w:vAlign w:val="center"/>
          </w:tcPr>
          <w:p w:rsidR="00752831" w:rsidRDefault="00752831">
            <w:pPr>
              <w:jc w:val="right"/>
              <w:rPr>
                <w:rFonts w:ascii="Arial" w:hAnsi="Arial" w:cs="Arial"/>
                <w:color w:val="000000"/>
              </w:rPr>
            </w:pPr>
            <w:r>
              <w:rPr>
                <w:rFonts w:ascii="Arial" w:hAnsi="Arial" w:cs="Arial"/>
                <w:color w:val="000000" w:themeColor="text1"/>
              </w:rPr>
              <w:t> </w:t>
            </w:r>
          </w:p>
        </w:tc>
      </w:tr>
      <w:tr w:rsidR="00752831" w:rsidRPr="00A6099F" w:rsidTr="00CD4006">
        <w:trPr>
          <w:jc w:val="right"/>
        </w:trPr>
        <w:tc>
          <w:tcPr>
            <w:tcW w:w="2260" w:type="dxa"/>
          </w:tcPr>
          <w:p w:rsidR="00752831" w:rsidRPr="00A6099F" w:rsidRDefault="00752831" w:rsidP="00CD4006">
            <w:pPr>
              <w:pStyle w:val="BodyText"/>
              <w:rPr>
                <w:rFonts w:ascii="Arial" w:hAnsi="Arial" w:cs="Arial"/>
                <w:color w:val="000000" w:themeColor="text1"/>
              </w:rPr>
            </w:pPr>
            <w:r w:rsidRPr="00A6099F">
              <w:rPr>
                <w:rFonts w:ascii="Arial" w:hAnsi="Arial" w:cs="Arial"/>
                <w:color w:val="000000" w:themeColor="text1"/>
              </w:rPr>
              <w:t>Section 106</w:t>
            </w:r>
          </w:p>
        </w:tc>
        <w:tc>
          <w:tcPr>
            <w:tcW w:w="1224" w:type="dxa"/>
            <w:vAlign w:val="center"/>
          </w:tcPr>
          <w:p w:rsidR="00752831" w:rsidRDefault="00752831">
            <w:pPr>
              <w:jc w:val="right"/>
              <w:rPr>
                <w:rFonts w:ascii="Arial" w:hAnsi="Arial" w:cs="Arial"/>
                <w:color w:val="000000"/>
              </w:rPr>
            </w:pPr>
            <w:r>
              <w:rPr>
                <w:rFonts w:ascii="Arial" w:hAnsi="Arial" w:cs="Arial"/>
                <w:color w:val="000000"/>
              </w:rPr>
              <w:t>130</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150</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24" w:type="dxa"/>
            <w:vAlign w:val="center"/>
          </w:tcPr>
          <w:p w:rsidR="00752831" w:rsidRDefault="00752831">
            <w:pPr>
              <w:jc w:val="right"/>
              <w:rPr>
                <w:rFonts w:ascii="Arial" w:hAnsi="Arial" w:cs="Arial"/>
                <w:color w:val="000000"/>
              </w:rPr>
            </w:pPr>
            <w:r>
              <w:rPr>
                <w:rFonts w:ascii="Arial" w:hAnsi="Arial" w:cs="Arial"/>
                <w:color w:val="000000" w:themeColor="text1"/>
              </w:rPr>
              <w:t> </w:t>
            </w:r>
          </w:p>
        </w:tc>
        <w:tc>
          <w:tcPr>
            <w:tcW w:w="1269" w:type="dxa"/>
            <w:vAlign w:val="center"/>
          </w:tcPr>
          <w:p w:rsidR="00752831" w:rsidRDefault="00752831">
            <w:pPr>
              <w:jc w:val="right"/>
              <w:rPr>
                <w:rFonts w:ascii="Arial" w:hAnsi="Arial" w:cs="Arial"/>
                <w:color w:val="000000"/>
              </w:rPr>
            </w:pPr>
            <w:r>
              <w:rPr>
                <w:rFonts w:ascii="Arial" w:hAnsi="Arial" w:cs="Arial"/>
                <w:color w:val="000000" w:themeColor="text1"/>
              </w:rPr>
              <w:t> </w:t>
            </w:r>
          </w:p>
        </w:tc>
      </w:tr>
      <w:tr w:rsidR="00D6535E" w:rsidRPr="00C623AC" w:rsidTr="00CD4006">
        <w:trPr>
          <w:jc w:val="right"/>
        </w:trPr>
        <w:tc>
          <w:tcPr>
            <w:tcW w:w="2260" w:type="dxa"/>
          </w:tcPr>
          <w:p w:rsidR="00D6535E" w:rsidRPr="00C623AC" w:rsidRDefault="00D6535E" w:rsidP="00CD4006">
            <w:pPr>
              <w:pStyle w:val="BodyText"/>
              <w:rPr>
                <w:rFonts w:ascii="Arial" w:hAnsi="Arial" w:cs="Arial"/>
                <w:b/>
                <w:bCs/>
              </w:rPr>
            </w:pPr>
            <w:r w:rsidRPr="00C623AC">
              <w:rPr>
                <w:rFonts w:ascii="Arial" w:hAnsi="Arial" w:cs="Arial"/>
                <w:b/>
                <w:bCs/>
              </w:rPr>
              <w:t>Net financing need for the year</w:t>
            </w:r>
          </w:p>
        </w:tc>
        <w:tc>
          <w:tcPr>
            <w:tcW w:w="1224" w:type="dxa"/>
            <w:vAlign w:val="center"/>
          </w:tcPr>
          <w:p w:rsidR="00D6535E" w:rsidRPr="0049477C" w:rsidRDefault="00D6535E" w:rsidP="00CD4006">
            <w:pPr>
              <w:pStyle w:val="BodyText"/>
              <w:jc w:val="right"/>
              <w:rPr>
                <w:rFonts w:ascii="Arial" w:hAnsi="Arial" w:cs="Arial"/>
                <w:b/>
                <w:bCs/>
                <w:color w:val="000000" w:themeColor="text1"/>
              </w:rPr>
            </w:pPr>
            <w:r w:rsidRPr="0049477C">
              <w:rPr>
                <w:rFonts w:ascii="Arial" w:hAnsi="Arial" w:cs="Arial"/>
                <w:b/>
                <w:bCs/>
                <w:color w:val="000000" w:themeColor="text1"/>
              </w:rPr>
              <w:t>Nil</w:t>
            </w:r>
          </w:p>
        </w:tc>
        <w:tc>
          <w:tcPr>
            <w:tcW w:w="1224" w:type="dxa"/>
            <w:vAlign w:val="center"/>
          </w:tcPr>
          <w:p w:rsidR="00D6535E" w:rsidRPr="0049477C" w:rsidRDefault="00D6535E" w:rsidP="00CD4006">
            <w:pPr>
              <w:pStyle w:val="BodyText"/>
              <w:jc w:val="right"/>
              <w:rPr>
                <w:rFonts w:ascii="Arial" w:hAnsi="Arial" w:cs="Arial"/>
                <w:b/>
                <w:bCs/>
                <w:color w:val="000000" w:themeColor="text1"/>
              </w:rPr>
            </w:pPr>
            <w:r w:rsidRPr="0049477C">
              <w:rPr>
                <w:rFonts w:ascii="Arial" w:hAnsi="Arial" w:cs="Arial"/>
                <w:b/>
                <w:bCs/>
                <w:color w:val="000000" w:themeColor="text1"/>
              </w:rPr>
              <w:t>Nil</w:t>
            </w:r>
          </w:p>
        </w:tc>
        <w:tc>
          <w:tcPr>
            <w:tcW w:w="1224" w:type="dxa"/>
            <w:vAlign w:val="center"/>
          </w:tcPr>
          <w:p w:rsidR="00D6535E" w:rsidRPr="0049477C" w:rsidRDefault="00D6535E" w:rsidP="00CD4006">
            <w:pPr>
              <w:pStyle w:val="BodyText"/>
              <w:jc w:val="right"/>
              <w:rPr>
                <w:rFonts w:ascii="Arial" w:hAnsi="Arial" w:cs="Arial"/>
                <w:b/>
                <w:bCs/>
                <w:color w:val="000000" w:themeColor="text1"/>
              </w:rPr>
            </w:pPr>
            <w:r w:rsidRPr="0049477C">
              <w:rPr>
                <w:rFonts w:ascii="Arial" w:hAnsi="Arial" w:cs="Arial"/>
                <w:b/>
                <w:bCs/>
                <w:color w:val="000000" w:themeColor="text1"/>
              </w:rPr>
              <w:t>Nil</w:t>
            </w:r>
          </w:p>
        </w:tc>
        <w:tc>
          <w:tcPr>
            <w:tcW w:w="1224" w:type="dxa"/>
            <w:vAlign w:val="center"/>
          </w:tcPr>
          <w:p w:rsidR="00D6535E" w:rsidRPr="0049477C" w:rsidRDefault="00D6535E" w:rsidP="00CD4006">
            <w:pPr>
              <w:jc w:val="right"/>
              <w:rPr>
                <w:color w:val="000000" w:themeColor="text1"/>
              </w:rPr>
            </w:pPr>
            <w:r w:rsidRPr="0049477C">
              <w:rPr>
                <w:rFonts w:ascii="Arial" w:hAnsi="Arial" w:cs="Arial"/>
                <w:b/>
                <w:bCs/>
                <w:color w:val="000000" w:themeColor="text1"/>
              </w:rPr>
              <w:t>Nil</w:t>
            </w:r>
          </w:p>
        </w:tc>
        <w:tc>
          <w:tcPr>
            <w:tcW w:w="1269" w:type="dxa"/>
            <w:vAlign w:val="center"/>
          </w:tcPr>
          <w:p w:rsidR="00D6535E" w:rsidRPr="0049477C" w:rsidRDefault="00D6535E" w:rsidP="00CD4006">
            <w:pPr>
              <w:jc w:val="right"/>
              <w:rPr>
                <w:color w:val="000000" w:themeColor="text1"/>
              </w:rPr>
            </w:pPr>
            <w:r w:rsidRPr="0049477C">
              <w:rPr>
                <w:rFonts w:ascii="Arial" w:hAnsi="Arial" w:cs="Arial"/>
                <w:b/>
                <w:bCs/>
                <w:color w:val="000000" w:themeColor="text1"/>
              </w:rPr>
              <w:t>Nil</w:t>
            </w:r>
          </w:p>
        </w:tc>
      </w:tr>
    </w:tbl>
    <w:p w:rsidR="00D6535E" w:rsidRDefault="00D6535E" w:rsidP="00D6535E">
      <w:pPr>
        <w:rPr>
          <w:rFonts w:ascii="Arial" w:hAnsi="Arial" w:cs="Arial"/>
        </w:rPr>
      </w:pPr>
    </w:p>
    <w:p w:rsidR="00D6535E" w:rsidRPr="00B473C3" w:rsidRDefault="00D6535E" w:rsidP="00D6535E">
      <w:pPr>
        <w:rPr>
          <w:rFonts w:ascii="Arial" w:hAnsi="Arial" w:cs="Arial"/>
          <w:b/>
        </w:rPr>
      </w:pPr>
      <w:r w:rsidRPr="00B473C3">
        <w:rPr>
          <w:rFonts w:ascii="Arial" w:hAnsi="Arial" w:cs="Arial"/>
          <w:b/>
        </w:rPr>
        <w:t>The Council’s Borrowing Need (the Capital Financing Requirement)</w:t>
      </w:r>
    </w:p>
    <w:p w:rsidR="00D6535E" w:rsidRDefault="00D6535E" w:rsidP="00D6535E">
      <w:pPr>
        <w:rPr>
          <w:rFonts w:ascii="Arial" w:hAnsi="Arial" w:cs="Arial"/>
        </w:rPr>
      </w:pPr>
    </w:p>
    <w:p w:rsidR="00D6535E" w:rsidRPr="00B473C3" w:rsidRDefault="00D6535E" w:rsidP="00D6535E">
      <w:pPr>
        <w:pStyle w:val="ListParagraph"/>
        <w:numPr>
          <w:ilvl w:val="0"/>
          <w:numId w:val="10"/>
        </w:numPr>
        <w:ind w:hanging="720"/>
        <w:jc w:val="both"/>
        <w:rPr>
          <w:rFonts w:ascii="Arial" w:hAnsi="Arial" w:cs="Arial"/>
        </w:rPr>
      </w:pPr>
      <w:r w:rsidRPr="00B473C3">
        <w:rPr>
          <w:rFonts w:ascii="Arial" w:hAnsi="Arial" w:cs="Arial"/>
        </w:rPr>
        <w:t xml:space="preserve">The second prudential indicator is the Council’s Capital Financing Requirement (CFR).  The CFR is simply the total historic outstanding capital expenditure which has not yet been paid for from either revenue or capital resources.  It is essentially a measure of the Council’s underlying borrowing need.  Any capital expenditure above, which has not immediately been paid for, will increase the CFR.  </w:t>
      </w:r>
    </w:p>
    <w:p w:rsidR="00D6535E" w:rsidRDefault="00D6535E" w:rsidP="00D6535E">
      <w:pPr>
        <w:ind w:left="720"/>
        <w:jc w:val="both"/>
        <w:rPr>
          <w:rFonts w:ascii="Arial" w:hAnsi="Arial" w:cs="Arial"/>
        </w:rPr>
      </w:pPr>
    </w:p>
    <w:p w:rsidR="00D6535E" w:rsidRPr="00B473C3" w:rsidRDefault="00D6535E" w:rsidP="00D6535E">
      <w:pPr>
        <w:ind w:left="720"/>
        <w:jc w:val="both"/>
        <w:rPr>
          <w:rFonts w:ascii="Arial" w:hAnsi="Arial" w:cs="Arial"/>
        </w:rPr>
      </w:pPr>
      <w:r w:rsidRPr="00B473C3">
        <w:rPr>
          <w:rFonts w:ascii="Arial" w:hAnsi="Arial" w:cs="Arial"/>
        </w:rPr>
        <w:t>The CFR does not increase indefinitely, as the minimum revenue provision (MRP) is a statutory annual revenue charge which broadly reduces the borrowing need in line with each asset’s life.</w:t>
      </w:r>
    </w:p>
    <w:p w:rsidR="00D6535E" w:rsidRDefault="00D6535E" w:rsidP="00D6535E">
      <w:pPr>
        <w:ind w:left="720"/>
        <w:jc w:val="both"/>
        <w:rPr>
          <w:rFonts w:ascii="Arial" w:hAnsi="Arial" w:cs="Arial"/>
        </w:rPr>
      </w:pPr>
    </w:p>
    <w:p w:rsidR="00D6535E" w:rsidRPr="00B473C3" w:rsidRDefault="00D6535E" w:rsidP="00D6535E">
      <w:pPr>
        <w:ind w:left="720"/>
        <w:jc w:val="both"/>
        <w:rPr>
          <w:rFonts w:ascii="Arial" w:hAnsi="Arial" w:cs="Arial"/>
        </w:rPr>
      </w:pPr>
      <w:r w:rsidRPr="00B473C3">
        <w:rPr>
          <w:rFonts w:ascii="Arial" w:hAnsi="Arial" w:cs="Arial"/>
        </w:rPr>
        <w:t>The CFR also includes “other long term liabilities” (e.g.</w:t>
      </w:r>
      <w:r w:rsidR="00D52A4C">
        <w:rPr>
          <w:rFonts w:ascii="Arial" w:hAnsi="Arial" w:cs="Arial"/>
        </w:rPr>
        <w:t xml:space="preserve"> PFI schemes, finance leases). </w:t>
      </w:r>
      <w:r w:rsidRPr="00B473C3">
        <w:rPr>
          <w:rFonts w:ascii="Arial" w:hAnsi="Arial" w:cs="Arial"/>
        </w:rPr>
        <w:t>Whilst these increase the CFR, and therefore the Council’s borrowing requirement, these types of scheme include a borrowing facility and so the Council is not required to separately borrow for these schemes.  The Council currently does not have any “other long-term liabilities” within its CFR.</w:t>
      </w:r>
    </w:p>
    <w:p w:rsidR="00D6535E" w:rsidRDefault="00D6535E" w:rsidP="00D6535E">
      <w:pPr>
        <w:ind w:left="720"/>
        <w:jc w:val="both"/>
        <w:rPr>
          <w:rFonts w:ascii="Arial" w:hAnsi="Arial" w:cs="Arial"/>
        </w:rPr>
      </w:pPr>
    </w:p>
    <w:p w:rsidR="00D6535E" w:rsidRPr="00B473C3" w:rsidRDefault="00D6535E" w:rsidP="00D6535E">
      <w:pPr>
        <w:ind w:left="720"/>
        <w:jc w:val="both"/>
        <w:rPr>
          <w:rFonts w:ascii="Arial" w:hAnsi="Arial" w:cs="Arial"/>
        </w:rPr>
      </w:pPr>
      <w:r w:rsidRPr="00B473C3">
        <w:rPr>
          <w:rFonts w:ascii="Arial" w:hAnsi="Arial" w:cs="Arial"/>
        </w:rPr>
        <w:t>Due to the limited scope of the current Capital Programme it is expected that the Council’s CFR projections will be zero of the foreseeable future as shown in the table below:</w:t>
      </w:r>
    </w:p>
    <w:p w:rsidR="00D6535E" w:rsidRPr="00B473C3" w:rsidRDefault="00D6535E" w:rsidP="00D6535E">
      <w:pPr>
        <w:ind w:left="720"/>
        <w:jc w:val="both"/>
        <w:rPr>
          <w:rFonts w:ascii="Arial" w:hAnsi="Arial" w:cs="Arial"/>
        </w:rPr>
      </w:pPr>
    </w:p>
    <w:tbl>
      <w:tblPr>
        <w:tblW w:w="8425" w:type="dxa"/>
        <w:jc w:val="right"/>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262"/>
        <w:gridCol w:w="1262"/>
        <w:gridCol w:w="1263"/>
        <w:gridCol w:w="1262"/>
        <w:gridCol w:w="1263"/>
      </w:tblGrid>
      <w:tr w:rsidR="00D6535E" w:rsidRPr="00C623AC" w:rsidTr="00CD4006">
        <w:trPr>
          <w:jc w:val="right"/>
        </w:trPr>
        <w:tc>
          <w:tcPr>
            <w:tcW w:w="2113" w:type="dxa"/>
            <w:shd w:val="clear" w:color="auto" w:fill="B3B3B3"/>
          </w:tcPr>
          <w:p w:rsidR="00D6535E" w:rsidRPr="00C623AC" w:rsidRDefault="00D6535E" w:rsidP="00CD4006">
            <w:pPr>
              <w:pStyle w:val="BodyText"/>
              <w:rPr>
                <w:rFonts w:ascii="Arial" w:hAnsi="Arial" w:cs="Arial"/>
              </w:rPr>
            </w:pPr>
            <w:r w:rsidRPr="00C623AC">
              <w:rPr>
                <w:rFonts w:ascii="Arial" w:hAnsi="Arial" w:cs="Arial"/>
                <w:b/>
              </w:rPr>
              <w:t>£m</w:t>
            </w:r>
          </w:p>
        </w:tc>
        <w:tc>
          <w:tcPr>
            <w:tcW w:w="1262" w:type="dxa"/>
            <w:shd w:val="clear" w:color="auto" w:fill="B3B3B3"/>
          </w:tcPr>
          <w:p w:rsidR="00D6535E" w:rsidRPr="00C623AC" w:rsidRDefault="00D6535E" w:rsidP="00CD4006">
            <w:pPr>
              <w:pStyle w:val="BodyText"/>
              <w:jc w:val="center"/>
              <w:rPr>
                <w:rFonts w:ascii="Arial" w:hAnsi="Arial" w:cs="Arial"/>
                <w:b/>
                <w:bCs/>
              </w:rPr>
            </w:pPr>
            <w:r w:rsidRPr="00C623AC">
              <w:rPr>
                <w:rFonts w:ascii="Arial" w:hAnsi="Arial" w:cs="Arial"/>
                <w:b/>
                <w:bCs/>
              </w:rPr>
              <w:t>2013</w:t>
            </w:r>
            <w:r>
              <w:rPr>
                <w:rFonts w:ascii="Arial" w:hAnsi="Arial" w:cs="Arial"/>
                <w:b/>
                <w:bCs/>
              </w:rPr>
              <w:t>/14</w:t>
            </w:r>
          </w:p>
          <w:p w:rsidR="00D6535E" w:rsidRPr="00C623AC" w:rsidRDefault="00D6535E" w:rsidP="00CD4006">
            <w:pPr>
              <w:pStyle w:val="BodyText"/>
              <w:jc w:val="center"/>
              <w:rPr>
                <w:rFonts w:ascii="Arial" w:hAnsi="Arial" w:cs="Arial"/>
                <w:b/>
                <w:bCs/>
              </w:rPr>
            </w:pPr>
            <w:r w:rsidRPr="00C623AC">
              <w:rPr>
                <w:rFonts w:ascii="Arial" w:hAnsi="Arial" w:cs="Arial"/>
                <w:b/>
                <w:bCs/>
              </w:rPr>
              <w:t>Actual</w:t>
            </w:r>
          </w:p>
        </w:tc>
        <w:tc>
          <w:tcPr>
            <w:tcW w:w="1262" w:type="dxa"/>
            <w:shd w:val="clear" w:color="auto" w:fill="B3B3B3"/>
          </w:tcPr>
          <w:p w:rsidR="00D6535E" w:rsidRPr="00C623AC" w:rsidRDefault="00D6535E" w:rsidP="00CD4006">
            <w:pPr>
              <w:pStyle w:val="BodyText"/>
              <w:jc w:val="center"/>
              <w:rPr>
                <w:rFonts w:ascii="Arial" w:hAnsi="Arial" w:cs="Arial"/>
                <w:b/>
                <w:bCs/>
              </w:rPr>
            </w:pPr>
            <w:r w:rsidRPr="00C623AC">
              <w:rPr>
                <w:rFonts w:ascii="Arial" w:hAnsi="Arial" w:cs="Arial"/>
                <w:b/>
                <w:bCs/>
              </w:rPr>
              <w:t>2014</w:t>
            </w:r>
            <w:r>
              <w:rPr>
                <w:rFonts w:ascii="Arial" w:hAnsi="Arial" w:cs="Arial"/>
                <w:b/>
                <w:bCs/>
              </w:rPr>
              <w:t>/15</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tc>
        <w:tc>
          <w:tcPr>
            <w:tcW w:w="1263" w:type="dxa"/>
            <w:shd w:val="clear" w:color="auto" w:fill="B3B3B3"/>
          </w:tcPr>
          <w:p w:rsidR="00D6535E" w:rsidRPr="00C623AC" w:rsidRDefault="00D6535E" w:rsidP="00CD4006">
            <w:pPr>
              <w:pStyle w:val="BodyText"/>
              <w:jc w:val="center"/>
              <w:rPr>
                <w:rFonts w:ascii="Arial" w:hAnsi="Arial" w:cs="Arial"/>
                <w:b/>
                <w:bCs/>
              </w:rPr>
            </w:pPr>
            <w:r w:rsidRPr="00C623AC">
              <w:rPr>
                <w:rFonts w:ascii="Arial" w:hAnsi="Arial" w:cs="Arial"/>
                <w:b/>
                <w:bCs/>
              </w:rPr>
              <w:t>2015</w:t>
            </w:r>
            <w:r>
              <w:rPr>
                <w:rFonts w:ascii="Arial" w:hAnsi="Arial" w:cs="Arial"/>
                <w:b/>
                <w:bCs/>
              </w:rPr>
              <w:t>/16</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tc>
        <w:tc>
          <w:tcPr>
            <w:tcW w:w="1262" w:type="dxa"/>
            <w:shd w:val="clear" w:color="auto" w:fill="B3B3B3"/>
          </w:tcPr>
          <w:p w:rsidR="00D6535E" w:rsidRPr="00C623AC" w:rsidRDefault="00D6535E" w:rsidP="00CD4006">
            <w:pPr>
              <w:pStyle w:val="BodyText"/>
              <w:jc w:val="center"/>
              <w:rPr>
                <w:rFonts w:ascii="Arial" w:hAnsi="Arial" w:cs="Arial"/>
                <w:b/>
                <w:bCs/>
              </w:rPr>
            </w:pPr>
            <w:r w:rsidRPr="00C623AC">
              <w:rPr>
                <w:rFonts w:ascii="Arial" w:hAnsi="Arial" w:cs="Arial"/>
                <w:b/>
                <w:bCs/>
              </w:rPr>
              <w:t>2016</w:t>
            </w:r>
            <w:r>
              <w:rPr>
                <w:rFonts w:ascii="Arial" w:hAnsi="Arial" w:cs="Arial"/>
                <w:b/>
                <w:bCs/>
              </w:rPr>
              <w:t>/17</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tc>
        <w:tc>
          <w:tcPr>
            <w:tcW w:w="1263" w:type="dxa"/>
            <w:shd w:val="clear" w:color="auto" w:fill="B3B3B3"/>
          </w:tcPr>
          <w:p w:rsidR="00D6535E" w:rsidRPr="00C623AC" w:rsidRDefault="00D6535E" w:rsidP="00CD4006">
            <w:pPr>
              <w:pStyle w:val="BodyText"/>
              <w:jc w:val="center"/>
              <w:rPr>
                <w:rFonts w:ascii="Arial" w:hAnsi="Arial" w:cs="Arial"/>
                <w:b/>
                <w:bCs/>
              </w:rPr>
            </w:pPr>
            <w:r w:rsidRPr="00C623AC">
              <w:rPr>
                <w:rFonts w:ascii="Arial" w:hAnsi="Arial" w:cs="Arial"/>
                <w:b/>
                <w:bCs/>
              </w:rPr>
              <w:t>2017</w:t>
            </w:r>
            <w:r>
              <w:rPr>
                <w:rFonts w:ascii="Arial" w:hAnsi="Arial" w:cs="Arial"/>
                <w:b/>
                <w:bCs/>
              </w:rPr>
              <w:t>/18</w:t>
            </w:r>
          </w:p>
          <w:p w:rsidR="00D6535E" w:rsidRPr="00C623AC" w:rsidRDefault="00D6535E" w:rsidP="00CD4006">
            <w:pPr>
              <w:pStyle w:val="BodyText"/>
              <w:jc w:val="center"/>
              <w:rPr>
                <w:rFonts w:ascii="Arial" w:hAnsi="Arial" w:cs="Arial"/>
                <w:b/>
                <w:bCs/>
              </w:rPr>
            </w:pPr>
            <w:r w:rsidRPr="00C623AC">
              <w:rPr>
                <w:rFonts w:ascii="Arial" w:hAnsi="Arial" w:cs="Arial"/>
                <w:b/>
                <w:bCs/>
              </w:rPr>
              <w:t>Estimate</w:t>
            </w:r>
          </w:p>
        </w:tc>
      </w:tr>
      <w:tr w:rsidR="00D6535E" w:rsidRPr="00C623AC" w:rsidTr="00CD4006">
        <w:trPr>
          <w:jc w:val="right"/>
        </w:trPr>
        <w:tc>
          <w:tcPr>
            <w:tcW w:w="8425" w:type="dxa"/>
            <w:gridSpan w:val="6"/>
          </w:tcPr>
          <w:p w:rsidR="00D6535E" w:rsidRPr="00C623AC" w:rsidRDefault="00D6535E" w:rsidP="00CD4006">
            <w:pPr>
              <w:pStyle w:val="BodyText"/>
              <w:rPr>
                <w:rFonts w:ascii="Arial" w:hAnsi="Arial" w:cs="Arial"/>
              </w:rPr>
            </w:pPr>
            <w:r w:rsidRPr="00C623AC">
              <w:rPr>
                <w:rFonts w:ascii="Arial" w:hAnsi="Arial" w:cs="Arial"/>
                <w:b/>
                <w:bCs/>
              </w:rPr>
              <w:t>Capital Financing Requirement</w:t>
            </w:r>
          </w:p>
        </w:tc>
      </w:tr>
      <w:tr w:rsidR="00D6535E" w:rsidRPr="00C623AC" w:rsidTr="00CD4006">
        <w:trPr>
          <w:jc w:val="right"/>
        </w:trPr>
        <w:tc>
          <w:tcPr>
            <w:tcW w:w="2113" w:type="dxa"/>
          </w:tcPr>
          <w:p w:rsidR="00D6535E" w:rsidRPr="00C623AC" w:rsidRDefault="00D6535E" w:rsidP="00CD4006">
            <w:pPr>
              <w:pStyle w:val="BodyText"/>
              <w:rPr>
                <w:rFonts w:ascii="Arial" w:hAnsi="Arial" w:cs="Arial"/>
                <w:b/>
              </w:rPr>
            </w:pPr>
            <w:r w:rsidRPr="00C623AC">
              <w:rPr>
                <w:rFonts w:ascii="Arial" w:hAnsi="Arial" w:cs="Arial"/>
                <w:b/>
              </w:rPr>
              <w:t>Total CFR</w:t>
            </w:r>
          </w:p>
        </w:tc>
        <w:tc>
          <w:tcPr>
            <w:tcW w:w="1262" w:type="dxa"/>
            <w:vAlign w:val="center"/>
          </w:tcPr>
          <w:p w:rsidR="00D6535E" w:rsidRPr="0049477C" w:rsidRDefault="00D6535E" w:rsidP="00CD4006">
            <w:pPr>
              <w:pStyle w:val="BodyText"/>
              <w:jc w:val="center"/>
              <w:rPr>
                <w:rFonts w:ascii="Arial" w:hAnsi="Arial" w:cs="Arial"/>
              </w:rPr>
            </w:pPr>
            <w:r w:rsidRPr="0049477C">
              <w:rPr>
                <w:rFonts w:ascii="Arial" w:hAnsi="Arial" w:cs="Arial"/>
              </w:rPr>
              <w:t>Nil</w:t>
            </w:r>
          </w:p>
        </w:tc>
        <w:tc>
          <w:tcPr>
            <w:tcW w:w="1262" w:type="dxa"/>
            <w:vAlign w:val="center"/>
          </w:tcPr>
          <w:p w:rsidR="00D6535E" w:rsidRDefault="00D6535E" w:rsidP="00CD4006">
            <w:pPr>
              <w:jc w:val="center"/>
            </w:pPr>
            <w:r w:rsidRPr="00EE1C54">
              <w:rPr>
                <w:rFonts w:ascii="Arial" w:hAnsi="Arial" w:cs="Arial"/>
              </w:rPr>
              <w:t>Nil</w:t>
            </w:r>
          </w:p>
        </w:tc>
        <w:tc>
          <w:tcPr>
            <w:tcW w:w="1263" w:type="dxa"/>
            <w:vAlign w:val="center"/>
          </w:tcPr>
          <w:p w:rsidR="00D6535E" w:rsidRDefault="00D6535E" w:rsidP="00CD4006">
            <w:pPr>
              <w:jc w:val="center"/>
            </w:pPr>
            <w:r w:rsidRPr="00EE1C54">
              <w:rPr>
                <w:rFonts w:ascii="Arial" w:hAnsi="Arial" w:cs="Arial"/>
              </w:rPr>
              <w:t>Nil</w:t>
            </w:r>
          </w:p>
        </w:tc>
        <w:tc>
          <w:tcPr>
            <w:tcW w:w="1262" w:type="dxa"/>
            <w:vAlign w:val="center"/>
          </w:tcPr>
          <w:p w:rsidR="00D6535E" w:rsidRDefault="00D6535E" w:rsidP="00CD4006">
            <w:pPr>
              <w:jc w:val="center"/>
            </w:pPr>
            <w:r w:rsidRPr="00EE1C54">
              <w:rPr>
                <w:rFonts w:ascii="Arial" w:hAnsi="Arial" w:cs="Arial"/>
              </w:rPr>
              <w:t>Nil</w:t>
            </w:r>
          </w:p>
        </w:tc>
        <w:tc>
          <w:tcPr>
            <w:tcW w:w="1263" w:type="dxa"/>
            <w:vAlign w:val="center"/>
          </w:tcPr>
          <w:p w:rsidR="00D6535E" w:rsidRDefault="00D6535E" w:rsidP="00CD4006">
            <w:pPr>
              <w:jc w:val="center"/>
            </w:pPr>
            <w:r w:rsidRPr="00EE1C54">
              <w:rPr>
                <w:rFonts w:ascii="Arial" w:hAnsi="Arial" w:cs="Arial"/>
              </w:rPr>
              <w:t>Nil</w:t>
            </w:r>
          </w:p>
        </w:tc>
      </w:tr>
      <w:tr w:rsidR="00D6535E" w:rsidRPr="00C623AC" w:rsidTr="00CD4006">
        <w:trPr>
          <w:jc w:val="right"/>
        </w:trPr>
        <w:tc>
          <w:tcPr>
            <w:tcW w:w="2113" w:type="dxa"/>
          </w:tcPr>
          <w:p w:rsidR="00D6535E" w:rsidRPr="00C623AC" w:rsidRDefault="00D6535E" w:rsidP="00CD4006">
            <w:pPr>
              <w:pStyle w:val="BodyText"/>
              <w:rPr>
                <w:rFonts w:ascii="Arial" w:hAnsi="Arial" w:cs="Arial"/>
                <w:b/>
              </w:rPr>
            </w:pPr>
            <w:r w:rsidRPr="00C623AC">
              <w:rPr>
                <w:rFonts w:ascii="Arial" w:hAnsi="Arial" w:cs="Arial"/>
                <w:b/>
                <w:iCs/>
              </w:rPr>
              <w:t>Movement in CFR</w:t>
            </w:r>
          </w:p>
        </w:tc>
        <w:tc>
          <w:tcPr>
            <w:tcW w:w="1262" w:type="dxa"/>
            <w:vAlign w:val="center"/>
          </w:tcPr>
          <w:p w:rsidR="00D6535E" w:rsidRDefault="00D6535E" w:rsidP="00CD4006">
            <w:pPr>
              <w:jc w:val="center"/>
            </w:pPr>
            <w:r w:rsidRPr="005B0EDF">
              <w:rPr>
                <w:rFonts w:ascii="Arial" w:hAnsi="Arial" w:cs="Arial"/>
              </w:rPr>
              <w:t>Nil</w:t>
            </w:r>
          </w:p>
        </w:tc>
        <w:tc>
          <w:tcPr>
            <w:tcW w:w="1262" w:type="dxa"/>
            <w:vAlign w:val="center"/>
          </w:tcPr>
          <w:p w:rsidR="00D6535E" w:rsidRDefault="00D6535E" w:rsidP="00CD4006">
            <w:pPr>
              <w:jc w:val="center"/>
            </w:pPr>
            <w:r w:rsidRPr="005B0EDF">
              <w:rPr>
                <w:rFonts w:ascii="Arial" w:hAnsi="Arial" w:cs="Arial"/>
              </w:rPr>
              <w:t>Nil</w:t>
            </w:r>
          </w:p>
        </w:tc>
        <w:tc>
          <w:tcPr>
            <w:tcW w:w="1263" w:type="dxa"/>
            <w:vAlign w:val="center"/>
          </w:tcPr>
          <w:p w:rsidR="00D6535E" w:rsidRDefault="00D6535E" w:rsidP="00CD4006">
            <w:pPr>
              <w:jc w:val="center"/>
            </w:pPr>
            <w:r w:rsidRPr="005B0EDF">
              <w:rPr>
                <w:rFonts w:ascii="Arial" w:hAnsi="Arial" w:cs="Arial"/>
              </w:rPr>
              <w:t>Nil</w:t>
            </w:r>
          </w:p>
        </w:tc>
        <w:tc>
          <w:tcPr>
            <w:tcW w:w="1262" w:type="dxa"/>
            <w:vAlign w:val="center"/>
          </w:tcPr>
          <w:p w:rsidR="00D6535E" w:rsidRDefault="00D6535E" w:rsidP="00CD4006">
            <w:pPr>
              <w:jc w:val="center"/>
            </w:pPr>
            <w:r w:rsidRPr="005B0EDF">
              <w:rPr>
                <w:rFonts w:ascii="Arial" w:hAnsi="Arial" w:cs="Arial"/>
              </w:rPr>
              <w:t>Nil</w:t>
            </w:r>
          </w:p>
        </w:tc>
        <w:tc>
          <w:tcPr>
            <w:tcW w:w="1263" w:type="dxa"/>
            <w:vAlign w:val="center"/>
          </w:tcPr>
          <w:p w:rsidR="00D6535E" w:rsidRDefault="00D6535E" w:rsidP="00CD4006">
            <w:pPr>
              <w:jc w:val="center"/>
            </w:pPr>
            <w:r w:rsidRPr="005B0EDF">
              <w:rPr>
                <w:rFonts w:ascii="Arial" w:hAnsi="Arial" w:cs="Arial"/>
              </w:rPr>
              <w:t>Nil</w:t>
            </w:r>
          </w:p>
        </w:tc>
      </w:tr>
      <w:tr w:rsidR="00D6535E" w:rsidRPr="00C623AC" w:rsidTr="00CD4006">
        <w:trPr>
          <w:jc w:val="right"/>
        </w:trPr>
        <w:tc>
          <w:tcPr>
            <w:tcW w:w="2113" w:type="dxa"/>
            <w:tcBorders>
              <w:left w:val="nil"/>
              <w:right w:val="nil"/>
            </w:tcBorders>
          </w:tcPr>
          <w:p w:rsidR="00D6535E" w:rsidRPr="00C623AC" w:rsidRDefault="00D6535E" w:rsidP="00CD4006">
            <w:pPr>
              <w:pStyle w:val="BodyText"/>
              <w:rPr>
                <w:rFonts w:ascii="Arial" w:hAnsi="Arial" w:cs="Arial"/>
                <w:b/>
                <w:iCs/>
              </w:rPr>
            </w:pPr>
          </w:p>
        </w:tc>
        <w:tc>
          <w:tcPr>
            <w:tcW w:w="1262" w:type="dxa"/>
            <w:tcBorders>
              <w:left w:val="nil"/>
              <w:right w:val="nil"/>
            </w:tcBorders>
          </w:tcPr>
          <w:p w:rsidR="00D6535E" w:rsidRPr="00C623AC" w:rsidRDefault="00D6535E" w:rsidP="00CD4006">
            <w:pPr>
              <w:pStyle w:val="BodyText"/>
              <w:jc w:val="right"/>
              <w:rPr>
                <w:rFonts w:ascii="Arial" w:hAnsi="Arial" w:cs="Arial"/>
              </w:rPr>
            </w:pPr>
          </w:p>
        </w:tc>
        <w:tc>
          <w:tcPr>
            <w:tcW w:w="1262" w:type="dxa"/>
            <w:tcBorders>
              <w:left w:val="nil"/>
              <w:right w:val="nil"/>
            </w:tcBorders>
          </w:tcPr>
          <w:p w:rsidR="00D6535E" w:rsidRPr="00C623AC" w:rsidRDefault="00D6535E" w:rsidP="00CD4006">
            <w:pPr>
              <w:pStyle w:val="BodyText"/>
              <w:jc w:val="right"/>
              <w:rPr>
                <w:rFonts w:ascii="Arial" w:hAnsi="Arial" w:cs="Arial"/>
              </w:rPr>
            </w:pPr>
          </w:p>
        </w:tc>
        <w:tc>
          <w:tcPr>
            <w:tcW w:w="1263" w:type="dxa"/>
            <w:tcBorders>
              <w:left w:val="nil"/>
              <w:right w:val="nil"/>
            </w:tcBorders>
          </w:tcPr>
          <w:p w:rsidR="00D6535E" w:rsidRPr="00C623AC" w:rsidRDefault="00D6535E" w:rsidP="00CD4006">
            <w:pPr>
              <w:pStyle w:val="BodyText"/>
              <w:jc w:val="right"/>
              <w:rPr>
                <w:rFonts w:ascii="Arial" w:hAnsi="Arial" w:cs="Arial"/>
              </w:rPr>
            </w:pPr>
          </w:p>
        </w:tc>
        <w:tc>
          <w:tcPr>
            <w:tcW w:w="1262" w:type="dxa"/>
            <w:tcBorders>
              <w:left w:val="nil"/>
              <w:right w:val="nil"/>
            </w:tcBorders>
          </w:tcPr>
          <w:p w:rsidR="00D6535E" w:rsidRPr="00C623AC" w:rsidRDefault="00D6535E" w:rsidP="00CD4006">
            <w:pPr>
              <w:pStyle w:val="BodyText"/>
              <w:jc w:val="right"/>
              <w:rPr>
                <w:rFonts w:ascii="Arial" w:hAnsi="Arial" w:cs="Arial"/>
              </w:rPr>
            </w:pPr>
          </w:p>
        </w:tc>
        <w:tc>
          <w:tcPr>
            <w:tcW w:w="1263" w:type="dxa"/>
            <w:tcBorders>
              <w:left w:val="nil"/>
              <w:right w:val="nil"/>
            </w:tcBorders>
          </w:tcPr>
          <w:p w:rsidR="00D6535E" w:rsidRPr="00C623AC" w:rsidRDefault="00D6535E" w:rsidP="00CD4006">
            <w:pPr>
              <w:pStyle w:val="BodyText"/>
              <w:jc w:val="right"/>
              <w:rPr>
                <w:rFonts w:ascii="Arial" w:hAnsi="Arial" w:cs="Arial"/>
              </w:rPr>
            </w:pPr>
          </w:p>
        </w:tc>
      </w:tr>
      <w:tr w:rsidR="00D6535E" w:rsidRPr="00C623AC" w:rsidTr="00CD4006">
        <w:trPr>
          <w:jc w:val="right"/>
        </w:trPr>
        <w:tc>
          <w:tcPr>
            <w:tcW w:w="8425" w:type="dxa"/>
            <w:gridSpan w:val="6"/>
          </w:tcPr>
          <w:p w:rsidR="00D6535E" w:rsidRPr="00C623AC" w:rsidRDefault="00D6535E" w:rsidP="00CD4006">
            <w:pPr>
              <w:pStyle w:val="BodyText"/>
              <w:rPr>
                <w:rFonts w:ascii="Arial" w:hAnsi="Arial" w:cs="Arial"/>
              </w:rPr>
            </w:pPr>
            <w:r w:rsidRPr="00C623AC">
              <w:rPr>
                <w:rFonts w:ascii="Arial" w:hAnsi="Arial" w:cs="Arial"/>
                <w:b/>
                <w:iCs/>
              </w:rPr>
              <w:t>Movement in CFR represented by</w:t>
            </w:r>
          </w:p>
        </w:tc>
      </w:tr>
      <w:tr w:rsidR="00D6535E" w:rsidRPr="00C623AC" w:rsidTr="00CD4006">
        <w:trPr>
          <w:jc w:val="right"/>
        </w:trPr>
        <w:tc>
          <w:tcPr>
            <w:tcW w:w="2113" w:type="dxa"/>
            <w:vAlign w:val="center"/>
          </w:tcPr>
          <w:p w:rsidR="00D6535E" w:rsidRPr="00870C2A" w:rsidRDefault="00D6535E" w:rsidP="00CD4006">
            <w:pPr>
              <w:pStyle w:val="BodyText"/>
              <w:rPr>
                <w:rFonts w:ascii="Arial" w:hAnsi="Arial" w:cs="Arial"/>
                <w:iCs/>
              </w:rPr>
            </w:pPr>
            <w:r w:rsidRPr="00870C2A">
              <w:rPr>
                <w:rFonts w:ascii="Arial" w:hAnsi="Arial" w:cs="Arial"/>
                <w:sz w:val="22"/>
                <w:szCs w:val="22"/>
              </w:rPr>
              <w:t>Net financing need for the year (above)</w:t>
            </w:r>
          </w:p>
        </w:tc>
        <w:tc>
          <w:tcPr>
            <w:tcW w:w="1262" w:type="dxa"/>
            <w:vAlign w:val="center"/>
          </w:tcPr>
          <w:p w:rsidR="00D6535E" w:rsidRDefault="00D6535E" w:rsidP="00CD4006">
            <w:pPr>
              <w:jc w:val="center"/>
            </w:pPr>
            <w:r w:rsidRPr="00AB77D2">
              <w:rPr>
                <w:rFonts w:ascii="Arial" w:hAnsi="Arial" w:cs="Arial"/>
              </w:rPr>
              <w:t>Nil</w:t>
            </w:r>
          </w:p>
        </w:tc>
        <w:tc>
          <w:tcPr>
            <w:tcW w:w="1262" w:type="dxa"/>
            <w:vAlign w:val="center"/>
          </w:tcPr>
          <w:p w:rsidR="00D6535E" w:rsidRDefault="00D6535E" w:rsidP="00CD4006">
            <w:pPr>
              <w:jc w:val="center"/>
            </w:pPr>
            <w:r w:rsidRPr="00AB77D2">
              <w:rPr>
                <w:rFonts w:ascii="Arial" w:hAnsi="Arial" w:cs="Arial"/>
              </w:rPr>
              <w:t>Nil</w:t>
            </w:r>
          </w:p>
        </w:tc>
        <w:tc>
          <w:tcPr>
            <w:tcW w:w="1263" w:type="dxa"/>
            <w:vAlign w:val="center"/>
          </w:tcPr>
          <w:p w:rsidR="00D6535E" w:rsidRDefault="00D6535E" w:rsidP="00CD4006">
            <w:pPr>
              <w:jc w:val="center"/>
            </w:pPr>
            <w:r w:rsidRPr="00AB77D2">
              <w:rPr>
                <w:rFonts w:ascii="Arial" w:hAnsi="Arial" w:cs="Arial"/>
              </w:rPr>
              <w:t>Nil</w:t>
            </w:r>
          </w:p>
        </w:tc>
        <w:tc>
          <w:tcPr>
            <w:tcW w:w="1262" w:type="dxa"/>
            <w:vAlign w:val="center"/>
          </w:tcPr>
          <w:p w:rsidR="00D6535E" w:rsidRDefault="00D6535E" w:rsidP="00CD4006">
            <w:pPr>
              <w:jc w:val="center"/>
            </w:pPr>
            <w:r w:rsidRPr="00AB77D2">
              <w:rPr>
                <w:rFonts w:ascii="Arial" w:hAnsi="Arial" w:cs="Arial"/>
              </w:rPr>
              <w:t>Nil</w:t>
            </w:r>
          </w:p>
        </w:tc>
        <w:tc>
          <w:tcPr>
            <w:tcW w:w="1263" w:type="dxa"/>
            <w:vAlign w:val="center"/>
          </w:tcPr>
          <w:p w:rsidR="00D6535E" w:rsidRDefault="00D6535E" w:rsidP="00CD4006">
            <w:pPr>
              <w:jc w:val="center"/>
            </w:pPr>
            <w:r w:rsidRPr="00AB77D2">
              <w:rPr>
                <w:rFonts w:ascii="Arial" w:hAnsi="Arial" w:cs="Arial"/>
              </w:rPr>
              <w:t>Nil</w:t>
            </w:r>
          </w:p>
        </w:tc>
      </w:tr>
      <w:tr w:rsidR="00D6535E" w:rsidRPr="00C623AC" w:rsidTr="00CD4006">
        <w:trPr>
          <w:jc w:val="right"/>
        </w:trPr>
        <w:tc>
          <w:tcPr>
            <w:tcW w:w="2113" w:type="dxa"/>
            <w:vAlign w:val="center"/>
          </w:tcPr>
          <w:p w:rsidR="00D6535E" w:rsidRPr="00870C2A" w:rsidRDefault="00D6535E" w:rsidP="00CD4006">
            <w:pPr>
              <w:pStyle w:val="BodyText"/>
              <w:rPr>
                <w:rFonts w:ascii="Arial" w:hAnsi="Arial" w:cs="Arial"/>
                <w:iCs/>
              </w:rPr>
            </w:pPr>
            <w:r w:rsidRPr="00870C2A">
              <w:rPr>
                <w:rFonts w:ascii="Arial" w:hAnsi="Arial" w:cs="Arial"/>
                <w:iCs/>
                <w:sz w:val="22"/>
                <w:szCs w:val="22"/>
              </w:rPr>
              <w:t>Less MRP/VRP and other financing movements</w:t>
            </w:r>
          </w:p>
        </w:tc>
        <w:tc>
          <w:tcPr>
            <w:tcW w:w="1262" w:type="dxa"/>
            <w:vAlign w:val="center"/>
          </w:tcPr>
          <w:p w:rsidR="00D6535E" w:rsidRDefault="00D6535E" w:rsidP="00CD4006">
            <w:pPr>
              <w:jc w:val="center"/>
            </w:pPr>
            <w:r w:rsidRPr="00B46351">
              <w:rPr>
                <w:rFonts w:ascii="Arial" w:hAnsi="Arial" w:cs="Arial"/>
              </w:rPr>
              <w:t>Nil</w:t>
            </w:r>
          </w:p>
        </w:tc>
        <w:tc>
          <w:tcPr>
            <w:tcW w:w="1262" w:type="dxa"/>
            <w:vAlign w:val="center"/>
          </w:tcPr>
          <w:p w:rsidR="00D6535E" w:rsidRDefault="00D6535E" w:rsidP="00CD4006">
            <w:pPr>
              <w:jc w:val="center"/>
            </w:pPr>
            <w:r w:rsidRPr="00B46351">
              <w:rPr>
                <w:rFonts w:ascii="Arial" w:hAnsi="Arial" w:cs="Arial"/>
              </w:rPr>
              <w:t>Nil</w:t>
            </w:r>
          </w:p>
        </w:tc>
        <w:tc>
          <w:tcPr>
            <w:tcW w:w="1263" w:type="dxa"/>
            <w:vAlign w:val="center"/>
          </w:tcPr>
          <w:p w:rsidR="00D6535E" w:rsidRDefault="00D6535E" w:rsidP="00CD4006">
            <w:pPr>
              <w:jc w:val="center"/>
            </w:pPr>
            <w:r w:rsidRPr="00B46351">
              <w:rPr>
                <w:rFonts w:ascii="Arial" w:hAnsi="Arial" w:cs="Arial"/>
              </w:rPr>
              <w:t>Nil</w:t>
            </w:r>
          </w:p>
        </w:tc>
        <w:tc>
          <w:tcPr>
            <w:tcW w:w="1262" w:type="dxa"/>
            <w:vAlign w:val="center"/>
          </w:tcPr>
          <w:p w:rsidR="00D6535E" w:rsidRDefault="00D6535E" w:rsidP="00CD4006">
            <w:pPr>
              <w:jc w:val="center"/>
            </w:pPr>
            <w:r w:rsidRPr="00B46351">
              <w:rPr>
                <w:rFonts w:ascii="Arial" w:hAnsi="Arial" w:cs="Arial"/>
              </w:rPr>
              <w:t>Nil</w:t>
            </w:r>
          </w:p>
        </w:tc>
        <w:tc>
          <w:tcPr>
            <w:tcW w:w="1263" w:type="dxa"/>
            <w:vAlign w:val="center"/>
          </w:tcPr>
          <w:p w:rsidR="00D6535E" w:rsidRDefault="00D6535E" w:rsidP="00CD4006">
            <w:pPr>
              <w:jc w:val="center"/>
            </w:pPr>
            <w:r w:rsidRPr="00B46351">
              <w:rPr>
                <w:rFonts w:ascii="Arial" w:hAnsi="Arial" w:cs="Arial"/>
              </w:rPr>
              <w:t>Nil</w:t>
            </w:r>
          </w:p>
        </w:tc>
      </w:tr>
      <w:tr w:rsidR="00D6535E" w:rsidRPr="00C623AC" w:rsidTr="00CD4006">
        <w:trPr>
          <w:trHeight w:val="701"/>
          <w:jc w:val="right"/>
        </w:trPr>
        <w:tc>
          <w:tcPr>
            <w:tcW w:w="2113" w:type="dxa"/>
            <w:vAlign w:val="center"/>
          </w:tcPr>
          <w:p w:rsidR="00D6535E" w:rsidRPr="00C623AC" w:rsidRDefault="00D6535E" w:rsidP="00CD4006">
            <w:pPr>
              <w:pStyle w:val="BodyText"/>
              <w:rPr>
                <w:rFonts w:ascii="Arial" w:hAnsi="Arial" w:cs="Arial"/>
                <w:b/>
                <w:iCs/>
              </w:rPr>
            </w:pPr>
            <w:r w:rsidRPr="00C623AC">
              <w:rPr>
                <w:rFonts w:ascii="Arial" w:hAnsi="Arial" w:cs="Arial"/>
                <w:b/>
                <w:iCs/>
              </w:rPr>
              <w:t>Movement in CFR</w:t>
            </w:r>
          </w:p>
        </w:tc>
        <w:tc>
          <w:tcPr>
            <w:tcW w:w="1262" w:type="dxa"/>
            <w:vAlign w:val="center"/>
          </w:tcPr>
          <w:p w:rsidR="00D6535E" w:rsidRDefault="00D6535E" w:rsidP="00CD4006">
            <w:pPr>
              <w:jc w:val="center"/>
            </w:pPr>
            <w:r w:rsidRPr="00AB2662">
              <w:rPr>
                <w:rFonts w:ascii="Arial" w:hAnsi="Arial" w:cs="Arial"/>
              </w:rPr>
              <w:t>Nil</w:t>
            </w:r>
          </w:p>
        </w:tc>
        <w:tc>
          <w:tcPr>
            <w:tcW w:w="1262" w:type="dxa"/>
            <w:vAlign w:val="center"/>
          </w:tcPr>
          <w:p w:rsidR="00D6535E" w:rsidRDefault="00D6535E" w:rsidP="00CD4006">
            <w:pPr>
              <w:jc w:val="center"/>
            </w:pPr>
            <w:r w:rsidRPr="00AB2662">
              <w:rPr>
                <w:rFonts w:ascii="Arial" w:hAnsi="Arial" w:cs="Arial"/>
              </w:rPr>
              <w:t>Nil</w:t>
            </w:r>
          </w:p>
        </w:tc>
        <w:tc>
          <w:tcPr>
            <w:tcW w:w="1263" w:type="dxa"/>
            <w:vAlign w:val="center"/>
          </w:tcPr>
          <w:p w:rsidR="00D6535E" w:rsidRDefault="00D6535E" w:rsidP="00CD4006">
            <w:pPr>
              <w:jc w:val="center"/>
            </w:pPr>
            <w:r w:rsidRPr="00AB2662">
              <w:rPr>
                <w:rFonts w:ascii="Arial" w:hAnsi="Arial" w:cs="Arial"/>
              </w:rPr>
              <w:t>Nil</w:t>
            </w:r>
          </w:p>
        </w:tc>
        <w:tc>
          <w:tcPr>
            <w:tcW w:w="1262" w:type="dxa"/>
            <w:vAlign w:val="center"/>
          </w:tcPr>
          <w:p w:rsidR="00D6535E" w:rsidRDefault="00D6535E" w:rsidP="00CD4006">
            <w:pPr>
              <w:jc w:val="center"/>
            </w:pPr>
            <w:r w:rsidRPr="00AB2662">
              <w:rPr>
                <w:rFonts w:ascii="Arial" w:hAnsi="Arial" w:cs="Arial"/>
              </w:rPr>
              <w:t>Nil</w:t>
            </w:r>
          </w:p>
        </w:tc>
        <w:tc>
          <w:tcPr>
            <w:tcW w:w="1263" w:type="dxa"/>
            <w:vAlign w:val="center"/>
          </w:tcPr>
          <w:p w:rsidR="00D6535E" w:rsidRDefault="00D6535E" w:rsidP="00CD4006">
            <w:pPr>
              <w:jc w:val="center"/>
            </w:pPr>
            <w:r w:rsidRPr="00AB2662">
              <w:rPr>
                <w:rFonts w:ascii="Arial" w:hAnsi="Arial" w:cs="Arial"/>
              </w:rPr>
              <w:t>Nil</w:t>
            </w:r>
          </w:p>
        </w:tc>
      </w:tr>
    </w:tbl>
    <w:p w:rsidR="00D6535E" w:rsidRPr="00C623AC" w:rsidRDefault="00D6535E" w:rsidP="00D6535E">
      <w:pPr>
        <w:pStyle w:val="BodyText"/>
        <w:jc w:val="both"/>
        <w:rPr>
          <w:rFonts w:ascii="Arial" w:hAnsi="Arial" w:cs="Arial"/>
          <w:b/>
          <w:bCs/>
          <w:color w:val="000000" w:themeColor="text1"/>
        </w:rPr>
      </w:pPr>
      <w:r w:rsidRPr="00C623AC">
        <w:rPr>
          <w:rFonts w:ascii="Arial" w:hAnsi="Arial" w:cs="Arial"/>
          <w:b/>
          <w:bCs/>
          <w:color w:val="000000" w:themeColor="text1"/>
        </w:rPr>
        <w:lastRenderedPageBreak/>
        <w:t>Minimum Revenue Provision (MRP) Policy Statement</w:t>
      </w:r>
    </w:p>
    <w:p w:rsidR="00D6535E" w:rsidRPr="00F3704E" w:rsidRDefault="00D6535E" w:rsidP="00D6535E">
      <w:pPr>
        <w:pStyle w:val="BodyText"/>
        <w:jc w:val="both"/>
        <w:rPr>
          <w:rFonts w:ascii="Arial" w:hAnsi="Arial" w:cs="Arial"/>
          <w:b/>
          <w:bCs/>
          <w:color w:val="4F81BD" w:themeColor="accent1"/>
          <w:sz w:val="20"/>
          <w:szCs w:val="20"/>
        </w:rPr>
      </w:pPr>
    </w:p>
    <w:p w:rsidR="00D6535E" w:rsidRPr="00B473C3" w:rsidRDefault="00D6535E" w:rsidP="00D6535E">
      <w:pPr>
        <w:pStyle w:val="BodyText"/>
        <w:numPr>
          <w:ilvl w:val="0"/>
          <w:numId w:val="10"/>
        </w:numPr>
        <w:ind w:hanging="720"/>
        <w:jc w:val="both"/>
        <w:rPr>
          <w:rFonts w:ascii="Arial" w:hAnsi="Arial" w:cs="Arial"/>
          <w:color w:val="000000" w:themeColor="text1"/>
        </w:rPr>
      </w:pPr>
      <w:r w:rsidRPr="00B473C3">
        <w:rPr>
          <w:rFonts w:ascii="Arial" w:hAnsi="Arial" w:cs="Arial"/>
          <w:color w:val="000000" w:themeColor="text1"/>
        </w:rPr>
        <w:t xml:space="preserve">The Council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rsidR="00D6535E" w:rsidRPr="00F3704E" w:rsidRDefault="00D6535E" w:rsidP="00D6535E">
      <w:pPr>
        <w:pStyle w:val="BodyText"/>
        <w:ind w:left="720"/>
        <w:jc w:val="both"/>
        <w:rPr>
          <w:rFonts w:ascii="Arial" w:hAnsi="Arial" w:cs="Arial"/>
          <w:color w:val="4F81BD" w:themeColor="accent1"/>
        </w:rPr>
      </w:pPr>
    </w:p>
    <w:p w:rsidR="00D6535E" w:rsidRPr="002F36CD" w:rsidRDefault="00D6535E" w:rsidP="00D6535E">
      <w:pPr>
        <w:pStyle w:val="BodyText"/>
        <w:ind w:left="720"/>
        <w:jc w:val="both"/>
        <w:rPr>
          <w:rFonts w:ascii="Arial" w:hAnsi="Arial" w:cs="Arial"/>
          <w:color w:val="000000" w:themeColor="text1"/>
        </w:rPr>
      </w:pPr>
      <w:r w:rsidRPr="002F36CD">
        <w:rPr>
          <w:rFonts w:ascii="Arial" w:hAnsi="Arial" w:cs="Arial"/>
          <w:color w:val="000000" w:themeColor="text1"/>
        </w:rPr>
        <w:t xml:space="preserve">CLG Regulations have been issued which require the full Council to approve </w:t>
      </w:r>
      <w:r w:rsidRPr="002F36CD">
        <w:rPr>
          <w:rFonts w:ascii="Arial" w:hAnsi="Arial" w:cs="Arial"/>
          <w:b/>
          <w:bCs/>
          <w:color w:val="000000" w:themeColor="text1"/>
        </w:rPr>
        <w:t>an MRP Statement</w:t>
      </w:r>
      <w:r w:rsidRPr="002F36CD">
        <w:rPr>
          <w:rFonts w:ascii="Arial" w:hAnsi="Arial" w:cs="Arial"/>
          <w:color w:val="000000" w:themeColor="text1"/>
        </w:rPr>
        <w:t xml:space="preserve"> in advance of each year. </w:t>
      </w:r>
      <w:r w:rsidRPr="00971148">
        <w:rPr>
          <w:rFonts w:ascii="Arial" w:hAnsi="Arial" w:cs="Arial"/>
          <w:b/>
        </w:rPr>
        <w:t>This is required even though the Council currently has a nil CFR.</w:t>
      </w:r>
      <w:r w:rsidRPr="002F36CD">
        <w:rPr>
          <w:rFonts w:ascii="Arial" w:hAnsi="Arial" w:cs="Arial"/>
          <w:color w:val="000000" w:themeColor="text1"/>
        </w:rPr>
        <w:t xml:space="preserve"> A variety of options are provided to councils, so long as</w:t>
      </w:r>
      <w:r w:rsidR="00763585">
        <w:rPr>
          <w:rFonts w:ascii="Arial" w:hAnsi="Arial" w:cs="Arial"/>
          <w:color w:val="000000" w:themeColor="text1"/>
        </w:rPr>
        <w:t xml:space="preserve"> there is a prudent provision. </w:t>
      </w:r>
      <w:r w:rsidRPr="002F36CD">
        <w:rPr>
          <w:rFonts w:ascii="Arial" w:hAnsi="Arial" w:cs="Arial"/>
          <w:color w:val="000000" w:themeColor="text1"/>
        </w:rPr>
        <w:t>The Council is recommended to approve the following MRP Statement for capital expenditure incurred before 1 April 2008 or which</w:t>
      </w:r>
      <w:r>
        <w:rPr>
          <w:rFonts w:ascii="Arial" w:hAnsi="Arial" w:cs="Arial"/>
          <w:color w:val="000000" w:themeColor="text1"/>
        </w:rPr>
        <w:t>,</w:t>
      </w:r>
      <w:r w:rsidRPr="002F36CD">
        <w:rPr>
          <w:rFonts w:ascii="Arial" w:hAnsi="Arial" w:cs="Arial"/>
          <w:color w:val="000000" w:themeColor="text1"/>
        </w:rPr>
        <w:t xml:space="preserve"> in the future</w:t>
      </w:r>
      <w:r>
        <w:rPr>
          <w:rFonts w:ascii="Arial" w:hAnsi="Arial" w:cs="Arial"/>
          <w:color w:val="000000" w:themeColor="text1"/>
        </w:rPr>
        <w:t>,</w:t>
      </w:r>
      <w:r w:rsidRPr="002F36CD">
        <w:rPr>
          <w:rFonts w:ascii="Arial" w:hAnsi="Arial" w:cs="Arial"/>
          <w:color w:val="000000" w:themeColor="text1"/>
        </w:rPr>
        <w:t xml:space="preserve"> will be Supported Capital Expenditure.  The MRP policy will follow the existing practice outlined in former CLG regulations. </w:t>
      </w:r>
    </w:p>
    <w:p w:rsidR="00D6535E" w:rsidRPr="002F36CD" w:rsidRDefault="00D6535E" w:rsidP="00D6535E">
      <w:pPr>
        <w:pStyle w:val="BodyText"/>
        <w:ind w:left="720"/>
        <w:jc w:val="both"/>
        <w:rPr>
          <w:rFonts w:ascii="Arial" w:hAnsi="Arial" w:cs="Arial"/>
          <w:color w:val="000000" w:themeColor="text1"/>
          <w:sz w:val="20"/>
          <w:szCs w:val="20"/>
        </w:rPr>
      </w:pPr>
    </w:p>
    <w:p w:rsidR="00D6535E" w:rsidRPr="002F36CD" w:rsidRDefault="00D6535E" w:rsidP="00D6535E">
      <w:pPr>
        <w:pStyle w:val="BodyText"/>
        <w:ind w:left="720"/>
        <w:jc w:val="both"/>
        <w:rPr>
          <w:rFonts w:ascii="Arial" w:hAnsi="Arial" w:cs="Arial"/>
          <w:color w:val="000000" w:themeColor="text1"/>
        </w:rPr>
      </w:pPr>
      <w:r w:rsidRPr="002F36CD">
        <w:rPr>
          <w:rFonts w:ascii="Arial" w:hAnsi="Arial" w:cs="Arial"/>
          <w:color w:val="000000" w:themeColor="text1"/>
        </w:rPr>
        <w:t>From 1 April 2008 for all unsupported borrowing (including PFI and finance leases)</w:t>
      </w:r>
      <w:r>
        <w:rPr>
          <w:rFonts w:ascii="Arial" w:hAnsi="Arial" w:cs="Arial"/>
          <w:color w:val="000000" w:themeColor="text1"/>
        </w:rPr>
        <w:t>,</w:t>
      </w:r>
      <w:r w:rsidRPr="002F36CD">
        <w:rPr>
          <w:rFonts w:ascii="Arial" w:hAnsi="Arial" w:cs="Arial"/>
          <w:color w:val="000000" w:themeColor="text1"/>
        </w:rPr>
        <w:t xml:space="preserve"> the MRP policy will be based on the </w:t>
      </w:r>
      <w:r w:rsidRPr="002F36CD">
        <w:rPr>
          <w:rFonts w:ascii="Arial" w:hAnsi="Arial" w:cs="Arial"/>
          <w:b/>
          <w:bCs/>
          <w:color w:val="000000" w:themeColor="text1"/>
        </w:rPr>
        <w:t xml:space="preserve">Depreciation method </w:t>
      </w:r>
      <w:r w:rsidRPr="002F36CD">
        <w:rPr>
          <w:rFonts w:ascii="Arial" w:hAnsi="Arial" w:cs="Arial"/>
          <w:color w:val="000000" w:themeColor="text1"/>
        </w:rPr>
        <w:t xml:space="preserve">– MRP will follow standard depreciation accounting procedures thus providing a reduction in the borrowing need over approximately the asset’s life. </w:t>
      </w:r>
    </w:p>
    <w:p w:rsidR="00D6535E" w:rsidRPr="00F3704E" w:rsidRDefault="00D6535E" w:rsidP="00D6535E">
      <w:pPr>
        <w:pStyle w:val="BodyText"/>
        <w:ind w:left="720"/>
        <w:jc w:val="both"/>
        <w:rPr>
          <w:rFonts w:ascii="Arial" w:hAnsi="Arial" w:cs="Arial"/>
          <w:color w:val="4F81BD" w:themeColor="accent1"/>
          <w:sz w:val="20"/>
          <w:szCs w:val="20"/>
        </w:rPr>
      </w:pPr>
    </w:p>
    <w:p w:rsidR="00D6535E" w:rsidRPr="002F36CD" w:rsidRDefault="00D6535E" w:rsidP="00D6535E">
      <w:pPr>
        <w:pStyle w:val="BodyText"/>
        <w:rPr>
          <w:rFonts w:ascii="Arial" w:hAnsi="Arial" w:cs="Arial"/>
          <w:b/>
          <w:bCs/>
          <w:color w:val="000000" w:themeColor="text1"/>
        </w:rPr>
      </w:pPr>
      <w:r w:rsidRPr="002F36CD">
        <w:rPr>
          <w:rFonts w:ascii="Arial" w:hAnsi="Arial" w:cs="Arial"/>
          <w:b/>
          <w:bCs/>
          <w:color w:val="000000" w:themeColor="text1"/>
        </w:rPr>
        <w:t>Core funds and expected investment balances</w:t>
      </w:r>
    </w:p>
    <w:p w:rsidR="00D6535E" w:rsidRPr="00F3704E" w:rsidRDefault="00D6535E" w:rsidP="00D6535E">
      <w:pPr>
        <w:pStyle w:val="BodyText"/>
        <w:rPr>
          <w:rFonts w:ascii="Arial" w:hAnsi="Arial" w:cs="Arial"/>
          <w:b/>
          <w:bCs/>
          <w:color w:val="4F81BD" w:themeColor="accent1"/>
          <w:sz w:val="20"/>
          <w:szCs w:val="20"/>
        </w:rPr>
      </w:pPr>
    </w:p>
    <w:p w:rsidR="00D6535E" w:rsidRPr="002F36CD" w:rsidRDefault="00D6535E" w:rsidP="00D6535E">
      <w:pPr>
        <w:pStyle w:val="BodyText"/>
        <w:numPr>
          <w:ilvl w:val="0"/>
          <w:numId w:val="10"/>
        </w:numPr>
        <w:ind w:hanging="720"/>
        <w:jc w:val="both"/>
        <w:rPr>
          <w:rFonts w:ascii="Arial" w:hAnsi="Arial" w:cs="Arial"/>
          <w:color w:val="000000" w:themeColor="text1"/>
        </w:rPr>
      </w:pPr>
      <w:r w:rsidRPr="002F36CD">
        <w:rPr>
          <w:rFonts w:ascii="Arial" w:hAnsi="Arial" w:cs="Arial"/>
          <w:color w:val="000000" w:themeColor="text1"/>
        </w:rPr>
        <w:t xml:space="preserve">The application of resources (capital receipts, reserves etc.) to either finance capital expenditure or other budget decisions to support the </w:t>
      </w:r>
      <w:r>
        <w:rPr>
          <w:rFonts w:ascii="Arial" w:hAnsi="Arial" w:cs="Arial"/>
          <w:color w:val="000000" w:themeColor="text1"/>
        </w:rPr>
        <w:t>R</w:t>
      </w:r>
      <w:r w:rsidRPr="002F36CD">
        <w:rPr>
          <w:rFonts w:ascii="Arial" w:hAnsi="Arial" w:cs="Arial"/>
          <w:color w:val="000000" w:themeColor="text1"/>
        </w:rPr>
        <w:t xml:space="preserve">evenue </w:t>
      </w:r>
      <w:r>
        <w:rPr>
          <w:rFonts w:ascii="Arial" w:hAnsi="Arial" w:cs="Arial"/>
          <w:color w:val="000000" w:themeColor="text1"/>
        </w:rPr>
        <w:t>B</w:t>
      </w:r>
      <w:r w:rsidRPr="002F36CD">
        <w:rPr>
          <w:rFonts w:ascii="Arial" w:hAnsi="Arial" w:cs="Arial"/>
          <w:color w:val="000000" w:themeColor="text1"/>
        </w:rPr>
        <w:t>udget will have an on-going impact on investments unless resources are supplemented each year from new sources (</w:t>
      </w:r>
      <w:r>
        <w:rPr>
          <w:rFonts w:ascii="Arial" w:hAnsi="Arial" w:cs="Arial"/>
          <w:color w:val="000000" w:themeColor="text1"/>
        </w:rPr>
        <w:t>e.g. capital receipts from asset sales etc.</w:t>
      </w:r>
      <w:r w:rsidRPr="002F36CD">
        <w:rPr>
          <w:rFonts w:ascii="Arial" w:hAnsi="Arial" w:cs="Arial"/>
          <w:color w:val="000000" w:themeColor="text1"/>
        </w:rPr>
        <w:t>).  Detailed below are estimates of the year end balances for each resource and anticipated day to day cash flow balances.</w:t>
      </w:r>
    </w:p>
    <w:p w:rsidR="00D6535E" w:rsidRPr="00F3704E" w:rsidRDefault="00D6535E" w:rsidP="00D6535E">
      <w:pPr>
        <w:pStyle w:val="BodyText"/>
        <w:ind w:left="720"/>
        <w:jc w:val="both"/>
        <w:rPr>
          <w:rFonts w:ascii="Arial" w:hAnsi="Arial" w:cs="Arial"/>
          <w:color w:val="4F81BD" w:themeColor="accent1"/>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320"/>
        <w:gridCol w:w="1320"/>
        <w:gridCol w:w="1320"/>
        <w:gridCol w:w="1320"/>
        <w:gridCol w:w="1321"/>
      </w:tblGrid>
      <w:tr w:rsidR="00D6535E" w:rsidRPr="002F36CD" w:rsidTr="00CD4006">
        <w:tc>
          <w:tcPr>
            <w:tcW w:w="1762" w:type="dxa"/>
            <w:shd w:val="clear" w:color="auto" w:fill="BFBFBF"/>
            <w:vAlign w:val="center"/>
          </w:tcPr>
          <w:p w:rsidR="00D6535E" w:rsidRPr="002F36CD" w:rsidRDefault="00D6535E" w:rsidP="00CD4006">
            <w:pPr>
              <w:pStyle w:val="BodyText"/>
              <w:rPr>
                <w:rFonts w:ascii="Arial" w:hAnsi="Arial" w:cs="Arial"/>
                <w:b/>
                <w:bCs/>
                <w:color w:val="000000" w:themeColor="text1"/>
              </w:rPr>
            </w:pPr>
            <w:r w:rsidRPr="002F36CD">
              <w:rPr>
                <w:rFonts w:ascii="Arial" w:hAnsi="Arial" w:cs="Arial"/>
                <w:b/>
                <w:bCs/>
                <w:color w:val="000000" w:themeColor="text1"/>
                <w:sz w:val="22"/>
                <w:szCs w:val="22"/>
              </w:rPr>
              <w:t>Year End Resources</w:t>
            </w:r>
          </w:p>
        </w:tc>
        <w:tc>
          <w:tcPr>
            <w:tcW w:w="1320" w:type="dxa"/>
            <w:shd w:val="clear" w:color="auto" w:fill="BFBFBF"/>
          </w:tcPr>
          <w:p w:rsidR="00D6535E" w:rsidRPr="002F36CD" w:rsidRDefault="0062597D" w:rsidP="00CD4006">
            <w:pPr>
              <w:pStyle w:val="BodyText"/>
              <w:jc w:val="center"/>
              <w:rPr>
                <w:rFonts w:ascii="Arial" w:hAnsi="Arial" w:cs="Arial"/>
                <w:b/>
                <w:bCs/>
                <w:color w:val="000000" w:themeColor="text1"/>
              </w:rPr>
            </w:pPr>
            <w:r>
              <w:rPr>
                <w:rFonts w:ascii="Arial" w:hAnsi="Arial" w:cs="Arial"/>
                <w:b/>
                <w:bCs/>
                <w:color w:val="000000" w:themeColor="text1"/>
                <w:sz w:val="22"/>
                <w:szCs w:val="22"/>
              </w:rPr>
              <w:t>2014/15</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Actual</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rPr>
              <w:t>£’000</w:t>
            </w:r>
          </w:p>
        </w:tc>
        <w:tc>
          <w:tcPr>
            <w:tcW w:w="1320" w:type="dxa"/>
            <w:shd w:val="clear" w:color="auto" w:fill="BFBFBF"/>
          </w:tcPr>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201</w:t>
            </w:r>
            <w:r>
              <w:rPr>
                <w:rFonts w:ascii="Arial" w:hAnsi="Arial" w:cs="Arial"/>
                <w:b/>
                <w:bCs/>
                <w:color w:val="000000" w:themeColor="text1"/>
                <w:sz w:val="22"/>
                <w:szCs w:val="22"/>
              </w:rPr>
              <w:t>5</w:t>
            </w:r>
            <w:r w:rsidR="0062597D">
              <w:rPr>
                <w:rFonts w:ascii="Arial" w:hAnsi="Arial" w:cs="Arial"/>
                <w:b/>
                <w:bCs/>
                <w:color w:val="000000" w:themeColor="text1"/>
                <w:sz w:val="22"/>
                <w:szCs w:val="22"/>
              </w:rPr>
              <w:t>/16</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Estimate</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rPr>
              <w:t>£’000</w:t>
            </w:r>
          </w:p>
        </w:tc>
        <w:tc>
          <w:tcPr>
            <w:tcW w:w="1320" w:type="dxa"/>
            <w:shd w:val="clear" w:color="auto" w:fill="BFBFBF"/>
          </w:tcPr>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201</w:t>
            </w:r>
            <w:r>
              <w:rPr>
                <w:rFonts w:ascii="Arial" w:hAnsi="Arial" w:cs="Arial"/>
                <w:b/>
                <w:bCs/>
                <w:color w:val="000000" w:themeColor="text1"/>
                <w:sz w:val="22"/>
                <w:szCs w:val="22"/>
              </w:rPr>
              <w:t>6</w:t>
            </w:r>
            <w:r w:rsidR="0062597D">
              <w:rPr>
                <w:rFonts w:ascii="Arial" w:hAnsi="Arial" w:cs="Arial"/>
                <w:b/>
                <w:bCs/>
                <w:color w:val="000000" w:themeColor="text1"/>
                <w:sz w:val="22"/>
                <w:szCs w:val="22"/>
              </w:rPr>
              <w:t>/17</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Estimate</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rPr>
              <w:t>£’000</w:t>
            </w:r>
          </w:p>
        </w:tc>
        <w:tc>
          <w:tcPr>
            <w:tcW w:w="1320" w:type="dxa"/>
            <w:shd w:val="clear" w:color="auto" w:fill="BFBFBF"/>
          </w:tcPr>
          <w:p w:rsidR="00D6535E" w:rsidRPr="002F36CD" w:rsidRDefault="00D6535E" w:rsidP="00CD4006">
            <w:pPr>
              <w:pStyle w:val="BodyText"/>
              <w:jc w:val="center"/>
              <w:rPr>
                <w:rFonts w:ascii="Arial" w:hAnsi="Arial" w:cs="Arial"/>
                <w:b/>
                <w:bCs/>
                <w:color w:val="000000" w:themeColor="text1"/>
              </w:rPr>
            </w:pPr>
            <w:r>
              <w:rPr>
                <w:rFonts w:ascii="Arial" w:hAnsi="Arial" w:cs="Arial"/>
                <w:b/>
                <w:bCs/>
                <w:color w:val="000000" w:themeColor="text1"/>
                <w:sz w:val="22"/>
                <w:szCs w:val="22"/>
              </w:rPr>
              <w:t>201</w:t>
            </w:r>
            <w:r w:rsidR="0062597D">
              <w:rPr>
                <w:rFonts w:ascii="Arial" w:hAnsi="Arial" w:cs="Arial"/>
                <w:b/>
                <w:bCs/>
                <w:color w:val="000000" w:themeColor="text1"/>
                <w:sz w:val="22"/>
                <w:szCs w:val="22"/>
              </w:rPr>
              <w:t>7/18</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Estimate</w:t>
            </w:r>
          </w:p>
          <w:p w:rsidR="00D6535E" w:rsidRPr="002F36CD" w:rsidRDefault="00D6535E" w:rsidP="00CD4006">
            <w:pPr>
              <w:pStyle w:val="BodyText"/>
              <w:jc w:val="center"/>
              <w:rPr>
                <w:rFonts w:ascii="Arial" w:hAnsi="Arial" w:cs="Arial"/>
                <w:b/>
                <w:bCs/>
                <w:color w:val="000000" w:themeColor="text1"/>
              </w:rPr>
            </w:pPr>
            <w:r w:rsidRPr="002F36CD">
              <w:rPr>
                <w:rFonts w:ascii="Arial" w:hAnsi="Arial" w:cs="Arial"/>
                <w:b/>
                <w:bCs/>
                <w:color w:val="000000" w:themeColor="text1"/>
              </w:rPr>
              <w:t>£’000</w:t>
            </w:r>
          </w:p>
        </w:tc>
        <w:tc>
          <w:tcPr>
            <w:tcW w:w="1321" w:type="dxa"/>
            <w:shd w:val="clear" w:color="auto" w:fill="BFBFBF"/>
          </w:tcPr>
          <w:p w:rsidR="00D6535E" w:rsidRPr="002F36CD" w:rsidRDefault="00D6535E" w:rsidP="0062597D">
            <w:pPr>
              <w:pStyle w:val="BodyText"/>
              <w:jc w:val="center"/>
              <w:rPr>
                <w:rFonts w:ascii="Arial" w:hAnsi="Arial" w:cs="Arial"/>
                <w:b/>
                <w:bCs/>
                <w:color w:val="000000" w:themeColor="text1"/>
              </w:rPr>
            </w:pPr>
            <w:r w:rsidRPr="002F36CD">
              <w:rPr>
                <w:rFonts w:ascii="Arial" w:hAnsi="Arial" w:cs="Arial"/>
                <w:b/>
                <w:bCs/>
                <w:color w:val="000000" w:themeColor="text1"/>
                <w:sz w:val="22"/>
                <w:szCs w:val="22"/>
              </w:rPr>
              <w:t>201</w:t>
            </w:r>
            <w:r>
              <w:rPr>
                <w:rFonts w:ascii="Arial" w:hAnsi="Arial" w:cs="Arial"/>
                <w:b/>
                <w:bCs/>
                <w:color w:val="000000" w:themeColor="text1"/>
                <w:sz w:val="22"/>
                <w:szCs w:val="22"/>
              </w:rPr>
              <w:t>8</w:t>
            </w:r>
            <w:r w:rsidR="0062597D">
              <w:rPr>
                <w:rFonts w:ascii="Arial" w:hAnsi="Arial" w:cs="Arial"/>
                <w:b/>
                <w:bCs/>
                <w:color w:val="000000" w:themeColor="text1"/>
                <w:sz w:val="22"/>
                <w:szCs w:val="22"/>
              </w:rPr>
              <w:t>/19</w:t>
            </w:r>
            <w:r w:rsidRPr="002F36CD">
              <w:rPr>
                <w:rFonts w:ascii="Arial" w:hAnsi="Arial" w:cs="Arial"/>
                <w:b/>
                <w:bCs/>
                <w:color w:val="000000" w:themeColor="text1"/>
                <w:sz w:val="22"/>
                <w:szCs w:val="22"/>
              </w:rPr>
              <w:t xml:space="preserve"> Estimate £’000</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color w:val="000000" w:themeColor="text1"/>
              </w:rPr>
            </w:pPr>
            <w:r w:rsidRPr="002F36CD">
              <w:rPr>
                <w:rFonts w:ascii="Arial" w:hAnsi="Arial" w:cs="Arial"/>
                <w:color w:val="000000" w:themeColor="text1"/>
                <w:sz w:val="22"/>
                <w:szCs w:val="22"/>
              </w:rPr>
              <w:t>Fund balances / reserves</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8,646</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9,055</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8,979</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9,304</w:t>
            </w:r>
          </w:p>
        </w:tc>
        <w:tc>
          <w:tcPr>
            <w:tcW w:w="1321" w:type="dxa"/>
            <w:vAlign w:val="center"/>
          </w:tcPr>
          <w:p w:rsidR="009717E4" w:rsidRDefault="009717E4">
            <w:pPr>
              <w:jc w:val="right"/>
              <w:rPr>
                <w:rFonts w:ascii="Arial" w:hAnsi="Arial" w:cs="Arial"/>
                <w:color w:val="000000"/>
              </w:rPr>
            </w:pPr>
            <w:r>
              <w:rPr>
                <w:rFonts w:ascii="Arial" w:hAnsi="Arial" w:cs="Arial"/>
                <w:color w:val="000000" w:themeColor="text1"/>
              </w:rPr>
              <w:t>8,998</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color w:val="000000" w:themeColor="text1"/>
              </w:rPr>
            </w:pPr>
            <w:r w:rsidRPr="002F36CD">
              <w:rPr>
                <w:rFonts w:ascii="Arial" w:hAnsi="Arial" w:cs="Arial"/>
                <w:color w:val="000000" w:themeColor="text1"/>
                <w:sz w:val="22"/>
                <w:szCs w:val="22"/>
              </w:rPr>
              <w:t>Capital receipts</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2,481</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2,138</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2,003</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1,887</w:t>
            </w:r>
          </w:p>
        </w:tc>
        <w:tc>
          <w:tcPr>
            <w:tcW w:w="1321" w:type="dxa"/>
            <w:vAlign w:val="center"/>
          </w:tcPr>
          <w:p w:rsidR="009717E4" w:rsidRDefault="009717E4">
            <w:pPr>
              <w:jc w:val="right"/>
              <w:rPr>
                <w:rFonts w:ascii="Arial" w:hAnsi="Arial" w:cs="Arial"/>
                <w:color w:val="000000"/>
              </w:rPr>
            </w:pPr>
            <w:r>
              <w:rPr>
                <w:rFonts w:ascii="Arial" w:hAnsi="Arial" w:cs="Arial"/>
                <w:color w:val="000000" w:themeColor="text1"/>
              </w:rPr>
              <w:t>1,835</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color w:val="000000" w:themeColor="text1"/>
              </w:rPr>
            </w:pPr>
            <w:r w:rsidRPr="002F36CD">
              <w:rPr>
                <w:rFonts w:ascii="Arial" w:hAnsi="Arial" w:cs="Arial"/>
                <w:color w:val="000000" w:themeColor="text1"/>
                <w:sz w:val="22"/>
                <w:szCs w:val="22"/>
              </w:rPr>
              <w:t>Other</w:t>
            </w:r>
          </w:p>
        </w:tc>
        <w:tc>
          <w:tcPr>
            <w:tcW w:w="1320" w:type="dxa"/>
            <w:vAlign w:val="center"/>
          </w:tcPr>
          <w:p w:rsidR="009717E4" w:rsidRDefault="009717E4">
            <w:pPr>
              <w:jc w:val="right"/>
              <w:rPr>
                <w:rFonts w:ascii="Arial" w:hAnsi="Arial" w:cs="Arial"/>
                <w:color w:val="000000"/>
              </w:rPr>
            </w:pPr>
            <w:r>
              <w:rPr>
                <w:rFonts w:ascii="Arial" w:hAnsi="Arial" w:cs="Arial"/>
                <w:bCs/>
                <w:color w:val="000000" w:themeColor="text1"/>
              </w:rPr>
              <w:t>866</w:t>
            </w:r>
          </w:p>
        </w:tc>
        <w:tc>
          <w:tcPr>
            <w:tcW w:w="1320" w:type="dxa"/>
            <w:vAlign w:val="center"/>
          </w:tcPr>
          <w:p w:rsidR="009717E4" w:rsidRDefault="009717E4">
            <w:pPr>
              <w:jc w:val="right"/>
              <w:rPr>
                <w:rFonts w:ascii="Arial" w:hAnsi="Arial" w:cs="Arial"/>
                <w:color w:val="000000"/>
              </w:rPr>
            </w:pPr>
            <w:r>
              <w:rPr>
                <w:rFonts w:ascii="Arial" w:hAnsi="Arial" w:cs="Arial"/>
                <w:bCs/>
                <w:color w:val="000000" w:themeColor="text1"/>
              </w:rPr>
              <w:t>866</w:t>
            </w:r>
          </w:p>
        </w:tc>
        <w:tc>
          <w:tcPr>
            <w:tcW w:w="1320" w:type="dxa"/>
            <w:vAlign w:val="center"/>
          </w:tcPr>
          <w:p w:rsidR="009717E4" w:rsidRDefault="009717E4">
            <w:pPr>
              <w:jc w:val="right"/>
              <w:rPr>
                <w:rFonts w:ascii="Arial" w:hAnsi="Arial" w:cs="Arial"/>
                <w:color w:val="000000"/>
              </w:rPr>
            </w:pPr>
            <w:r>
              <w:rPr>
                <w:rFonts w:ascii="Arial" w:hAnsi="Arial" w:cs="Arial"/>
                <w:bCs/>
                <w:color w:val="000000" w:themeColor="text1"/>
              </w:rPr>
              <w:t>866</w:t>
            </w:r>
          </w:p>
        </w:tc>
        <w:tc>
          <w:tcPr>
            <w:tcW w:w="1320" w:type="dxa"/>
            <w:vAlign w:val="center"/>
          </w:tcPr>
          <w:p w:rsidR="009717E4" w:rsidRDefault="009717E4">
            <w:pPr>
              <w:jc w:val="right"/>
              <w:rPr>
                <w:rFonts w:ascii="Arial" w:hAnsi="Arial" w:cs="Arial"/>
                <w:color w:val="000000"/>
              </w:rPr>
            </w:pPr>
            <w:r>
              <w:rPr>
                <w:rFonts w:ascii="Arial" w:hAnsi="Arial" w:cs="Arial"/>
                <w:bCs/>
                <w:color w:val="000000" w:themeColor="text1"/>
              </w:rPr>
              <w:t>866</w:t>
            </w:r>
          </w:p>
        </w:tc>
        <w:tc>
          <w:tcPr>
            <w:tcW w:w="1321" w:type="dxa"/>
            <w:vAlign w:val="center"/>
          </w:tcPr>
          <w:p w:rsidR="009717E4" w:rsidRDefault="009717E4">
            <w:pPr>
              <w:jc w:val="right"/>
              <w:rPr>
                <w:rFonts w:ascii="Arial" w:hAnsi="Arial" w:cs="Arial"/>
                <w:color w:val="000000"/>
              </w:rPr>
            </w:pPr>
            <w:r>
              <w:rPr>
                <w:rFonts w:ascii="Arial" w:hAnsi="Arial" w:cs="Arial"/>
                <w:bCs/>
                <w:color w:val="000000" w:themeColor="text1"/>
              </w:rPr>
              <w:t>866</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b/>
                <w:bCs/>
                <w:color w:val="000000" w:themeColor="text1"/>
              </w:rPr>
            </w:pPr>
            <w:r w:rsidRPr="002F36CD">
              <w:rPr>
                <w:rFonts w:ascii="Arial" w:hAnsi="Arial" w:cs="Arial"/>
                <w:b/>
                <w:bCs/>
                <w:color w:val="000000" w:themeColor="text1"/>
                <w:sz w:val="22"/>
                <w:szCs w:val="22"/>
              </w:rPr>
              <w:t>Total core funds</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11,993</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12,059</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11,848</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12,057</w:t>
            </w:r>
          </w:p>
        </w:tc>
        <w:tc>
          <w:tcPr>
            <w:tcW w:w="1321" w:type="dxa"/>
            <w:vAlign w:val="center"/>
          </w:tcPr>
          <w:p w:rsidR="009717E4" w:rsidRDefault="009717E4">
            <w:pPr>
              <w:jc w:val="right"/>
              <w:rPr>
                <w:rFonts w:ascii="Arial" w:hAnsi="Arial" w:cs="Arial"/>
                <w:b/>
                <w:bCs/>
                <w:color w:val="000000"/>
              </w:rPr>
            </w:pPr>
            <w:r>
              <w:rPr>
                <w:rFonts w:ascii="Arial" w:hAnsi="Arial" w:cs="Arial"/>
                <w:b/>
                <w:bCs/>
                <w:color w:val="000000" w:themeColor="text1"/>
              </w:rPr>
              <w:t>11,699</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color w:val="000000" w:themeColor="text1"/>
              </w:rPr>
            </w:pPr>
            <w:r w:rsidRPr="002F36CD">
              <w:rPr>
                <w:rFonts w:ascii="Arial" w:hAnsi="Arial" w:cs="Arial"/>
                <w:color w:val="000000" w:themeColor="text1"/>
                <w:sz w:val="22"/>
                <w:szCs w:val="22"/>
              </w:rPr>
              <w:t>Working capital*</w:t>
            </w:r>
          </w:p>
        </w:tc>
        <w:tc>
          <w:tcPr>
            <w:tcW w:w="1320" w:type="dxa"/>
            <w:vAlign w:val="center"/>
          </w:tcPr>
          <w:p w:rsidR="009717E4" w:rsidRDefault="009717E4">
            <w:pPr>
              <w:jc w:val="right"/>
              <w:rPr>
                <w:rFonts w:ascii="Arial" w:hAnsi="Arial" w:cs="Arial"/>
                <w:color w:val="000000"/>
              </w:rPr>
            </w:pPr>
            <w:r>
              <w:rPr>
                <w:rFonts w:ascii="Arial" w:hAnsi="Arial" w:cs="Arial"/>
                <w:bCs/>
                <w:color w:val="000000" w:themeColor="text1"/>
              </w:rPr>
              <w:t>1,000</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1,000</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1,000</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1,000</w:t>
            </w:r>
          </w:p>
        </w:tc>
        <w:tc>
          <w:tcPr>
            <w:tcW w:w="1321" w:type="dxa"/>
            <w:vAlign w:val="center"/>
          </w:tcPr>
          <w:p w:rsidR="009717E4" w:rsidRDefault="009717E4">
            <w:pPr>
              <w:jc w:val="right"/>
              <w:rPr>
                <w:rFonts w:ascii="Arial" w:hAnsi="Arial" w:cs="Arial"/>
                <w:color w:val="000000"/>
              </w:rPr>
            </w:pPr>
            <w:r>
              <w:rPr>
                <w:rFonts w:ascii="Arial" w:hAnsi="Arial" w:cs="Arial"/>
                <w:color w:val="000000" w:themeColor="text1"/>
              </w:rPr>
              <w:t>1,000</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color w:val="000000" w:themeColor="text1"/>
              </w:rPr>
            </w:pPr>
            <w:r w:rsidRPr="002F36CD">
              <w:rPr>
                <w:rFonts w:ascii="Arial" w:hAnsi="Arial" w:cs="Arial"/>
                <w:color w:val="000000" w:themeColor="text1"/>
                <w:sz w:val="22"/>
                <w:szCs w:val="22"/>
              </w:rPr>
              <w:t>Under/over borrowing</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Nil</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Nil</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Nil</w:t>
            </w:r>
          </w:p>
        </w:tc>
        <w:tc>
          <w:tcPr>
            <w:tcW w:w="1320" w:type="dxa"/>
            <w:vAlign w:val="center"/>
          </w:tcPr>
          <w:p w:rsidR="009717E4" w:rsidRDefault="009717E4">
            <w:pPr>
              <w:jc w:val="right"/>
              <w:rPr>
                <w:rFonts w:ascii="Arial" w:hAnsi="Arial" w:cs="Arial"/>
                <w:color w:val="000000"/>
              </w:rPr>
            </w:pPr>
            <w:r>
              <w:rPr>
                <w:rFonts w:ascii="Arial" w:hAnsi="Arial" w:cs="Arial"/>
                <w:color w:val="000000" w:themeColor="text1"/>
              </w:rPr>
              <w:t>Nil</w:t>
            </w:r>
          </w:p>
        </w:tc>
        <w:tc>
          <w:tcPr>
            <w:tcW w:w="1321" w:type="dxa"/>
            <w:vAlign w:val="center"/>
          </w:tcPr>
          <w:p w:rsidR="009717E4" w:rsidRDefault="009717E4">
            <w:pPr>
              <w:jc w:val="right"/>
              <w:rPr>
                <w:rFonts w:ascii="Arial" w:hAnsi="Arial" w:cs="Arial"/>
                <w:color w:val="000000"/>
              </w:rPr>
            </w:pPr>
            <w:r>
              <w:rPr>
                <w:rFonts w:ascii="Arial" w:hAnsi="Arial" w:cs="Arial"/>
                <w:color w:val="000000" w:themeColor="text1"/>
              </w:rPr>
              <w:t>Nil</w:t>
            </w:r>
          </w:p>
        </w:tc>
      </w:tr>
      <w:tr w:rsidR="009717E4" w:rsidRPr="002F36CD" w:rsidTr="00CD4006">
        <w:trPr>
          <w:trHeight w:val="506"/>
        </w:trPr>
        <w:tc>
          <w:tcPr>
            <w:tcW w:w="1762" w:type="dxa"/>
          </w:tcPr>
          <w:p w:rsidR="009717E4" w:rsidRPr="002F36CD" w:rsidRDefault="009717E4" w:rsidP="00CD4006">
            <w:pPr>
              <w:pStyle w:val="BodyText"/>
              <w:rPr>
                <w:rFonts w:ascii="Arial" w:hAnsi="Arial" w:cs="Arial"/>
                <w:b/>
                <w:bCs/>
                <w:color w:val="000000" w:themeColor="text1"/>
              </w:rPr>
            </w:pPr>
            <w:r w:rsidRPr="002F36CD">
              <w:rPr>
                <w:rFonts w:ascii="Arial" w:hAnsi="Arial" w:cs="Arial"/>
                <w:b/>
                <w:bCs/>
                <w:color w:val="000000" w:themeColor="text1"/>
                <w:sz w:val="22"/>
                <w:szCs w:val="22"/>
              </w:rPr>
              <w:t>Expected investments</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12,993</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13,059</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12,848</w:t>
            </w:r>
          </w:p>
        </w:tc>
        <w:tc>
          <w:tcPr>
            <w:tcW w:w="1320" w:type="dxa"/>
            <w:vAlign w:val="center"/>
          </w:tcPr>
          <w:p w:rsidR="009717E4" w:rsidRDefault="009717E4">
            <w:pPr>
              <w:jc w:val="right"/>
              <w:rPr>
                <w:rFonts w:ascii="Arial" w:hAnsi="Arial" w:cs="Arial"/>
                <w:b/>
                <w:bCs/>
                <w:color w:val="000000"/>
              </w:rPr>
            </w:pPr>
            <w:r>
              <w:rPr>
                <w:rFonts w:ascii="Arial" w:hAnsi="Arial" w:cs="Arial"/>
                <w:b/>
                <w:bCs/>
                <w:color w:val="000000" w:themeColor="text1"/>
              </w:rPr>
              <w:t>13,057</w:t>
            </w:r>
          </w:p>
        </w:tc>
        <w:tc>
          <w:tcPr>
            <w:tcW w:w="1321" w:type="dxa"/>
            <w:vAlign w:val="center"/>
          </w:tcPr>
          <w:p w:rsidR="009717E4" w:rsidRDefault="009717E4">
            <w:pPr>
              <w:jc w:val="right"/>
              <w:rPr>
                <w:rFonts w:ascii="Arial" w:hAnsi="Arial" w:cs="Arial"/>
                <w:b/>
                <w:bCs/>
                <w:color w:val="000000"/>
              </w:rPr>
            </w:pPr>
            <w:r>
              <w:rPr>
                <w:rFonts w:ascii="Arial" w:hAnsi="Arial" w:cs="Arial"/>
                <w:b/>
                <w:bCs/>
                <w:color w:val="000000" w:themeColor="text1"/>
              </w:rPr>
              <w:t>12,699</w:t>
            </w:r>
          </w:p>
        </w:tc>
      </w:tr>
    </w:tbl>
    <w:p w:rsidR="00D6535E" w:rsidRPr="00A61F2D" w:rsidRDefault="00D6535E" w:rsidP="00D6535E">
      <w:pPr>
        <w:pStyle w:val="BodyText"/>
        <w:ind w:left="720"/>
        <w:rPr>
          <w:rFonts w:ascii="Arial" w:hAnsi="Arial" w:cs="Arial"/>
          <w:bCs/>
          <w:color w:val="000000" w:themeColor="text1"/>
          <w:sz w:val="22"/>
          <w:szCs w:val="22"/>
        </w:rPr>
      </w:pPr>
      <w:r w:rsidRPr="00A61F2D">
        <w:rPr>
          <w:rFonts w:ascii="Arial" w:hAnsi="Arial" w:cs="Arial"/>
          <w:bCs/>
          <w:color w:val="000000" w:themeColor="text1"/>
          <w:sz w:val="22"/>
          <w:szCs w:val="22"/>
        </w:rPr>
        <w:t xml:space="preserve">*Working capital balances shown are estimated year end; these may be higher mid- year </w:t>
      </w:r>
    </w:p>
    <w:p w:rsidR="00D6535E" w:rsidRPr="0012482B" w:rsidRDefault="00D6535E" w:rsidP="00D6535E">
      <w:pPr>
        <w:rPr>
          <w:rFonts w:ascii="Arial" w:hAnsi="Arial" w:cs="Arial"/>
          <w:b/>
        </w:rPr>
      </w:pPr>
    </w:p>
    <w:p w:rsidR="00D6535E" w:rsidRDefault="00D6535E" w:rsidP="00D6535E">
      <w:pPr>
        <w:rPr>
          <w:rFonts w:ascii="Arial" w:hAnsi="Arial" w:cs="Arial"/>
          <w:b/>
        </w:rPr>
      </w:pPr>
      <w:r w:rsidRPr="0012482B">
        <w:rPr>
          <w:rFonts w:ascii="Arial" w:hAnsi="Arial" w:cs="Arial"/>
          <w:b/>
        </w:rPr>
        <w:t>Affordability Prudential Indicators</w:t>
      </w:r>
    </w:p>
    <w:p w:rsidR="00D6535E" w:rsidRPr="0012482B" w:rsidRDefault="00D6535E" w:rsidP="00D6535E">
      <w:pPr>
        <w:rPr>
          <w:rFonts w:ascii="Arial" w:hAnsi="Arial" w:cs="Arial"/>
          <w:b/>
        </w:rPr>
      </w:pPr>
    </w:p>
    <w:p w:rsidR="00D6535E" w:rsidRPr="0012482B" w:rsidRDefault="00D6535E" w:rsidP="00D6535E">
      <w:pPr>
        <w:pStyle w:val="ListParagraph"/>
        <w:numPr>
          <w:ilvl w:val="0"/>
          <w:numId w:val="10"/>
        </w:numPr>
        <w:ind w:hanging="720"/>
        <w:jc w:val="both"/>
        <w:rPr>
          <w:rFonts w:ascii="Arial" w:hAnsi="Arial" w:cs="Arial"/>
        </w:rPr>
      </w:pPr>
      <w:r w:rsidRPr="0012482B">
        <w:rPr>
          <w:rFonts w:ascii="Arial" w:hAnsi="Arial" w:cs="Arial"/>
        </w:rPr>
        <w:t xml:space="preserve">The previous sections cover the overall capital and control of borrowing prudential indicators, but within this framework prudential indicators are required to assess the affordability of the capital investment plans.   These provide an indication of the impact of the capital investment plans on the </w:t>
      </w:r>
      <w:r w:rsidRPr="0012482B">
        <w:rPr>
          <w:rFonts w:ascii="Arial" w:hAnsi="Arial" w:cs="Arial"/>
        </w:rPr>
        <w:lastRenderedPageBreak/>
        <w:t>Council’s overall finances.  The Council is asked to approve the following indicators:</w:t>
      </w:r>
    </w:p>
    <w:p w:rsidR="00D6535E" w:rsidRPr="0012482B" w:rsidRDefault="00D6535E" w:rsidP="00D6535E">
      <w:pPr>
        <w:rPr>
          <w:rFonts w:ascii="Arial" w:hAnsi="Arial" w:cs="Arial"/>
        </w:rPr>
      </w:pPr>
    </w:p>
    <w:p w:rsidR="00D6535E" w:rsidRPr="00A61F2D" w:rsidRDefault="00D6535E" w:rsidP="00D6535E">
      <w:pPr>
        <w:numPr>
          <w:ilvl w:val="0"/>
          <w:numId w:val="10"/>
        </w:numPr>
        <w:autoSpaceDE w:val="0"/>
        <w:autoSpaceDN w:val="0"/>
        <w:adjustRightInd w:val="0"/>
        <w:ind w:hanging="720"/>
        <w:jc w:val="both"/>
        <w:rPr>
          <w:rFonts w:ascii="Arial" w:hAnsi="Arial" w:cs="Arial"/>
        </w:rPr>
      </w:pPr>
      <w:r w:rsidRPr="00A61F2D">
        <w:rPr>
          <w:rFonts w:ascii="Arial" w:hAnsi="Arial" w:cs="Arial"/>
          <w:b/>
          <w:bCs/>
        </w:rPr>
        <w:t>Ratio of financing costs to net revenue stream</w:t>
      </w:r>
    </w:p>
    <w:p w:rsidR="00D6535E" w:rsidRPr="00A61F2D" w:rsidRDefault="00D6535E" w:rsidP="00D6535E">
      <w:pPr>
        <w:autoSpaceDE w:val="0"/>
        <w:autoSpaceDN w:val="0"/>
        <w:adjustRightInd w:val="0"/>
        <w:ind w:left="720"/>
        <w:jc w:val="both"/>
        <w:rPr>
          <w:rFonts w:ascii="Arial" w:hAnsi="Arial" w:cs="Arial"/>
        </w:rPr>
      </w:pPr>
    </w:p>
    <w:p w:rsidR="00D6535E" w:rsidRDefault="00D6535E" w:rsidP="00D6535E">
      <w:pPr>
        <w:autoSpaceDE w:val="0"/>
        <w:autoSpaceDN w:val="0"/>
        <w:adjustRightInd w:val="0"/>
        <w:ind w:left="720"/>
        <w:jc w:val="both"/>
        <w:rPr>
          <w:rFonts w:ascii="Arial" w:hAnsi="Arial" w:cs="Arial"/>
        </w:rPr>
      </w:pPr>
      <w:r w:rsidRPr="00A61F2D">
        <w:rPr>
          <w:rFonts w:ascii="Arial" w:hAnsi="Arial" w:cs="Arial"/>
        </w:rPr>
        <w:t>This indicator identifies the trend in the cost of capital (borrowing and other long term obligation costs net of investment income) against the net revenue stream.</w:t>
      </w:r>
    </w:p>
    <w:p w:rsidR="00D6535E" w:rsidRDefault="00D6535E" w:rsidP="00D6535E">
      <w:pPr>
        <w:autoSpaceDE w:val="0"/>
        <w:autoSpaceDN w:val="0"/>
        <w:adjustRightInd w:val="0"/>
        <w:ind w:left="72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394"/>
        <w:gridCol w:w="1394"/>
        <w:gridCol w:w="1394"/>
        <w:gridCol w:w="1394"/>
        <w:gridCol w:w="1394"/>
      </w:tblGrid>
      <w:tr w:rsidR="0062597D" w:rsidRPr="00A61F2D" w:rsidTr="00CD4006">
        <w:tc>
          <w:tcPr>
            <w:tcW w:w="1393" w:type="dxa"/>
            <w:shd w:val="clear" w:color="auto" w:fill="B3B3B3"/>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w:t>
            </w:r>
          </w:p>
        </w:tc>
        <w:tc>
          <w:tcPr>
            <w:tcW w:w="1394" w:type="dxa"/>
            <w:shd w:val="clear" w:color="auto" w:fill="B3B3B3"/>
            <w:vAlign w:val="center"/>
          </w:tcPr>
          <w:p w:rsidR="0062597D" w:rsidRPr="00A61F2D" w:rsidRDefault="0062597D" w:rsidP="0062597D">
            <w:pPr>
              <w:pStyle w:val="BodyText"/>
              <w:jc w:val="center"/>
              <w:rPr>
                <w:rFonts w:ascii="Arial" w:hAnsi="Arial" w:cs="Arial"/>
                <w:b/>
                <w:bCs/>
              </w:rPr>
            </w:pPr>
            <w:r>
              <w:rPr>
                <w:rFonts w:ascii="Arial" w:hAnsi="Arial" w:cs="Arial"/>
                <w:b/>
                <w:bCs/>
                <w:sz w:val="22"/>
                <w:szCs w:val="22"/>
              </w:rPr>
              <w:t>201</w:t>
            </w:r>
            <w:r w:rsidRPr="00A61F2D">
              <w:rPr>
                <w:rFonts w:ascii="Arial" w:hAnsi="Arial" w:cs="Arial"/>
                <w:b/>
                <w:bCs/>
                <w:sz w:val="22"/>
                <w:szCs w:val="22"/>
              </w:rPr>
              <w:t>4</w:t>
            </w:r>
            <w:r>
              <w:rPr>
                <w:rFonts w:ascii="Arial" w:hAnsi="Arial" w:cs="Arial"/>
                <w:b/>
                <w:bCs/>
                <w:sz w:val="22"/>
                <w:szCs w:val="22"/>
              </w:rPr>
              <w:t>/15</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Actual</w:t>
            </w:r>
          </w:p>
        </w:tc>
        <w:tc>
          <w:tcPr>
            <w:tcW w:w="1394" w:type="dxa"/>
            <w:shd w:val="clear" w:color="auto" w:fill="B3B3B3"/>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2015</w:t>
            </w:r>
            <w:r>
              <w:rPr>
                <w:rFonts w:ascii="Arial" w:hAnsi="Arial" w:cs="Arial"/>
                <w:b/>
                <w:bCs/>
                <w:sz w:val="22"/>
                <w:szCs w:val="22"/>
              </w:rPr>
              <w:t>/16</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c>
          <w:tcPr>
            <w:tcW w:w="1394" w:type="dxa"/>
            <w:shd w:val="clear" w:color="auto" w:fill="B3B3B3"/>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2016</w:t>
            </w:r>
            <w:r>
              <w:rPr>
                <w:rFonts w:ascii="Arial" w:hAnsi="Arial" w:cs="Arial"/>
                <w:b/>
                <w:bCs/>
                <w:sz w:val="22"/>
                <w:szCs w:val="22"/>
              </w:rPr>
              <w:t>/17</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c>
          <w:tcPr>
            <w:tcW w:w="1394" w:type="dxa"/>
            <w:shd w:val="clear" w:color="auto" w:fill="B3B3B3"/>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2017</w:t>
            </w:r>
            <w:r>
              <w:rPr>
                <w:rFonts w:ascii="Arial" w:hAnsi="Arial" w:cs="Arial"/>
                <w:b/>
                <w:bCs/>
                <w:sz w:val="22"/>
                <w:szCs w:val="22"/>
              </w:rPr>
              <w:t>/18</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c>
          <w:tcPr>
            <w:tcW w:w="1394" w:type="dxa"/>
            <w:shd w:val="clear" w:color="auto" w:fill="B3B3B3"/>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w:t>
            </w:r>
            <w:r>
              <w:rPr>
                <w:rFonts w:ascii="Arial" w:hAnsi="Arial" w:cs="Arial"/>
                <w:b/>
                <w:bCs/>
                <w:sz w:val="22"/>
                <w:szCs w:val="22"/>
              </w:rPr>
              <w:t>8/19</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r>
      <w:tr w:rsidR="002C3234" w:rsidRPr="00A61F2D" w:rsidTr="00CD4006">
        <w:trPr>
          <w:trHeight w:val="432"/>
        </w:trPr>
        <w:tc>
          <w:tcPr>
            <w:tcW w:w="1393" w:type="dxa"/>
            <w:vAlign w:val="center"/>
          </w:tcPr>
          <w:p w:rsidR="002C3234" w:rsidRPr="00A61F2D" w:rsidRDefault="002C3234" w:rsidP="00CD4006">
            <w:pPr>
              <w:pStyle w:val="BodyText"/>
              <w:jc w:val="center"/>
              <w:rPr>
                <w:rFonts w:ascii="Arial" w:hAnsi="Arial" w:cs="Arial"/>
                <w:b/>
                <w:bCs/>
              </w:rPr>
            </w:pPr>
            <w:r w:rsidRPr="00A61F2D">
              <w:rPr>
                <w:rFonts w:ascii="Arial" w:hAnsi="Arial" w:cs="Arial"/>
                <w:b/>
                <w:bCs/>
                <w:sz w:val="22"/>
                <w:szCs w:val="22"/>
              </w:rPr>
              <w:t>Non-HRA</w:t>
            </w:r>
          </w:p>
        </w:tc>
        <w:tc>
          <w:tcPr>
            <w:tcW w:w="1394" w:type="dxa"/>
            <w:vAlign w:val="bottom"/>
          </w:tcPr>
          <w:p w:rsidR="002C3234" w:rsidRDefault="002C3234">
            <w:pPr>
              <w:jc w:val="right"/>
              <w:rPr>
                <w:rFonts w:ascii="Arial" w:hAnsi="Arial" w:cs="Arial"/>
                <w:sz w:val="20"/>
                <w:szCs w:val="20"/>
              </w:rPr>
            </w:pPr>
            <w:r>
              <w:rPr>
                <w:rFonts w:ascii="Arial" w:hAnsi="Arial" w:cs="Arial"/>
                <w:sz w:val="20"/>
                <w:szCs w:val="20"/>
              </w:rPr>
              <w:t>-1%</w:t>
            </w:r>
          </w:p>
        </w:tc>
        <w:tc>
          <w:tcPr>
            <w:tcW w:w="1394" w:type="dxa"/>
            <w:vAlign w:val="bottom"/>
          </w:tcPr>
          <w:p w:rsidR="002C3234" w:rsidRDefault="002C3234">
            <w:pPr>
              <w:jc w:val="right"/>
              <w:rPr>
                <w:rFonts w:ascii="Arial" w:hAnsi="Arial" w:cs="Arial"/>
                <w:sz w:val="20"/>
                <w:szCs w:val="20"/>
              </w:rPr>
            </w:pPr>
            <w:r>
              <w:rPr>
                <w:rFonts w:ascii="Arial" w:hAnsi="Arial" w:cs="Arial"/>
                <w:sz w:val="20"/>
                <w:szCs w:val="20"/>
              </w:rPr>
              <w:t>-1%</w:t>
            </w:r>
          </w:p>
        </w:tc>
        <w:tc>
          <w:tcPr>
            <w:tcW w:w="1394" w:type="dxa"/>
            <w:vAlign w:val="bottom"/>
          </w:tcPr>
          <w:p w:rsidR="002C3234" w:rsidRDefault="002C3234">
            <w:pPr>
              <w:jc w:val="right"/>
              <w:rPr>
                <w:rFonts w:ascii="Arial" w:hAnsi="Arial" w:cs="Arial"/>
                <w:sz w:val="20"/>
                <w:szCs w:val="20"/>
              </w:rPr>
            </w:pPr>
            <w:r>
              <w:rPr>
                <w:rFonts w:ascii="Arial" w:hAnsi="Arial" w:cs="Arial"/>
                <w:sz w:val="20"/>
                <w:szCs w:val="20"/>
              </w:rPr>
              <w:t>-1%</w:t>
            </w:r>
          </w:p>
        </w:tc>
        <w:tc>
          <w:tcPr>
            <w:tcW w:w="1394" w:type="dxa"/>
            <w:vAlign w:val="bottom"/>
          </w:tcPr>
          <w:p w:rsidR="002C3234" w:rsidRDefault="002C3234">
            <w:pPr>
              <w:jc w:val="right"/>
              <w:rPr>
                <w:rFonts w:ascii="Arial" w:hAnsi="Arial" w:cs="Arial"/>
                <w:sz w:val="20"/>
                <w:szCs w:val="20"/>
              </w:rPr>
            </w:pPr>
            <w:r>
              <w:rPr>
                <w:rFonts w:ascii="Arial" w:hAnsi="Arial" w:cs="Arial"/>
                <w:sz w:val="20"/>
                <w:szCs w:val="20"/>
              </w:rPr>
              <w:t>-1%</w:t>
            </w:r>
          </w:p>
        </w:tc>
        <w:tc>
          <w:tcPr>
            <w:tcW w:w="1394" w:type="dxa"/>
            <w:vAlign w:val="bottom"/>
          </w:tcPr>
          <w:p w:rsidR="002C3234" w:rsidRDefault="002C3234">
            <w:pPr>
              <w:jc w:val="right"/>
              <w:rPr>
                <w:rFonts w:ascii="Arial" w:hAnsi="Arial" w:cs="Arial"/>
                <w:sz w:val="20"/>
                <w:szCs w:val="20"/>
              </w:rPr>
            </w:pPr>
            <w:r>
              <w:rPr>
                <w:rFonts w:ascii="Arial" w:hAnsi="Arial" w:cs="Arial"/>
                <w:sz w:val="20"/>
                <w:szCs w:val="20"/>
              </w:rPr>
              <w:t>-1%</w:t>
            </w:r>
          </w:p>
        </w:tc>
      </w:tr>
    </w:tbl>
    <w:p w:rsidR="00D6535E" w:rsidRPr="00A61F2D" w:rsidRDefault="00D6535E" w:rsidP="00D6535E">
      <w:pPr>
        <w:autoSpaceDE w:val="0"/>
        <w:autoSpaceDN w:val="0"/>
        <w:adjustRightInd w:val="0"/>
        <w:ind w:left="720"/>
        <w:jc w:val="both"/>
        <w:rPr>
          <w:rFonts w:ascii="Arial" w:hAnsi="Arial" w:cs="Arial"/>
        </w:rPr>
      </w:pPr>
    </w:p>
    <w:p w:rsidR="00D6535E" w:rsidRPr="00A61F2D" w:rsidRDefault="00D6535E" w:rsidP="00D6535E">
      <w:pPr>
        <w:pStyle w:val="BodyText"/>
        <w:ind w:left="720"/>
        <w:jc w:val="both"/>
        <w:rPr>
          <w:rFonts w:ascii="Arial" w:hAnsi="Arial" w:cs="Arial"/>
        </w:rPr>
      </w:pPr>
      <w:r w:rsidRPr="00A61F2D">
        <w:rPr>
          <w:rFonts w:ascii="Arial" w:hAnsi="Arial" w:cs="Arial"/>
        </w:rPr>
        <w:t>The estimates of financing costs include current commi</w:t>
      </w:r>
      <w:r>
        <w:rPr>
          <w:rFonts w:ascii="Arial" w:hAnsi="Arial" w:cs="Arial"/>
        </w:rPr>
        <w:t>tments and the proposals in the Revenue Budget</w:t>
      </w:r>
      <w:r w:rsidRPr="00A61F2D">
        <w:rPr>
          <w:rFonts w:ascii="Arial" w:hAnsi="Arial" w:cs="Arial"/>
        </w:rPr>
        <w:t xml:space="preserve"> report.</w:t>
      </w:r>
    </w:p>
    <w:p w:rsidR="00D6535E" w:rsidRPr="00F3704E" w:rsidRDefault="00D6535E" w:rsidP="00D6535E">
      <w:pPr>
        <w:autoSpaceDE w:val="0"/>
        <w:autoSpaceDN w:val="0"/>
        <w:adjustRightInd w:val="0"/>
        <w:jc w:val="both"/>
        <w:rPr>
          <w:rFonts w:ascii="Arial" w:hAnsi="Arial" w:cs="Arial"/>
          <w:b/>
          <w:bCs/>
          <w:color w:val="4F81BD" w:themeColor="accent1"/>
        </w:rPr>
      </w:pPr>
    </w:p>
    <w:p w:rsidR="00D6535E" w:rsidRDefault="00D6535E" w:rsidP="00D6535E">
      <w:pPr>
        <w:autoSpaceDE w:val="0"/>
        <w:autoSpaceDN w:val="0"/>
        <w:adjustRightInd w:val="0"/>
        <w:jc w:val="both"/>
        <w:rPr>
          <w:rFonts w:ascii="Arial" w:hAnsi="Arial" w:cs="Arial"/>
          <w:b/>
          <w:bCs/>
        </w:rPr>
      </w:pPr>
      <w:r w:rsidRPr="00A61F2D">
        <w:rPr>
          <w:rFonts w:ascii="Arial" w:hAnsi="Arial" w:cs="Arial"/>
          <w:b/>
          <w:bCs/>
        </w:rPr>
        <w:t>Incremental impact of capital investment decisions on the band D council tax</w:t>
      </w:r>
    </w:p>
    <w:p w:rsidR="00D6535E" w:rsidRDefault="00D6535E" w:rsidP="00D6535E">
      <w:pPr>
        <w:autoSpaceDE w:val="0"/>
        <w:autoSpaceDN w:val="0"/>
        <w:adjustRightInd w:val="0"/>
        <w:jc w:val="both"/>
        <w:rPr>
          <w:rFonts w:ascii="Arial" w:hAnsi="Arial" w:cs="Arial"/>
          <w:b/>
          <w:bCs/>
        </w:rPr>
      </w:pPr>
    </w:p>
    <w:p w:rsidR="00D6535E" w:rsidRPr="001F4D26" w:rsidRDefault="00D6535E" w:rsidP="00D6535E">
      <w:pPr>
        <w:numPr>
          <w:ilvl w:val="0"/>
          <w:numId w:val="10"/>
        </w:numPr>
        <w:autoSpaceDE w:val="0"/>
        <w:autoSpaceDN w:val="0"/>
        <w:adjustRightInd w:val="0"/>
        <w:ind w:hanging="720"/>
        <w:jc w:val="both"/>
        <w:rPr>
          <w:rFonts w:ascii="Arial" w:hAnsi="Arial" w:cs="Arial"/>
        </w:rPr>
      </w:pPr>
      <w:r w:rsidRPr="001F4D26">
        <w:rPr>
          <w:rFonts w:ascii="Arial" w:hAnsi="Arial" w:cs="Arial"/>
        </w:rPr>
        <w:t xml:space="preserve">This indicator identifies the revenue costs associated with proposed changes to the three year capital programme recommended in this </w:t>
      </w:r>
      <w:r>
        <w:rPr>
          <w:rFonts w:ascii="Arial" w:hAnsi="Arial" w:cs="Arial"/>
        </w:rPr>
        <w:t>B</w:t>
      </w:r>
      <w:r w:rsidRPr="001F4D26">
        <w:rPr>
          <w:rFonts w:ascii="Arial" w:hAnsi="Arial" w:cs="Arial"/>
        </w:rPr>
        <w:t>udget report compared to the Council’s existing approved commitments and current plans.  The assumptions are based on the budget, but will invariably include some estimates, such as the level of Government support, which are not published over a three year period.</w:t>
      </w:r>
    </w:p>
    <w:p w:rsidR="00D6535E" w:rsidRPr="0012482B" w:rsidRDefault="00D6535E" w:rsidP="00D6535E">
      <w:pPr>
        <w:autoSpaceDE w:val="0"/>
        <w:autoSpaceDN w:val="0"/>
        <w:adjustRightInd w:val="0"/>
        <w:jc w:val="both"/>
        <w:rPr>
          <w:rFonts w:ascii="Arial" w:hAnsi="Arial" w:cs="Arial"/>
          <w:color w:val="4F81BD" w:themeColor="accent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351"/>
        <w:gridCol w:w="1351"/>
        <w:gridCol w:w="1351"/>
        <w:gridCol w:w="1351"/>
        <w:gridCol w:w="1351"/>
      </w:tblGrid>
      <w:tr w:rsidR="0062597D" w:rsidRPr="00A61F2D" w:rsidTr="00CD4006">
        <w:trPr>
          <w:cantSplit/>
          <w:trHeight w:val="455"/>
        </w:trPr>
        <w:tc>
          <w:tcPr>
            <w:tcW w:w="1608" w:type="dxa"/>
            <w:shd w:val="clear" w:color="auto" w:fill="BFBFBF"/>
            <w:vAlign w:val="center"/>
          </w:tcPr>
          <w:p w:rsidR="0062597D" w:rsidRPr="00A61F2D" w:rsidRDefault="0062597D" w:rsidP="00CD4006">
            <w:pPr>
              <w:autoSpaceDE w:val="0"/>
              <w:autoSpaceDN w:val="0"/>
              <w:adjustRightInd w:val="0"/>
              <w:jc w:val="center"/>
              <w:rPr>
                <w:rFonts w:ascii="Arial" w:hAnsi="Arial" w:cs="Arial"/>
                <w:b/>
                <w:bCs/>
              </w:rPr>
            </w:pPr>
            <w:r>
              <w:rPr>
                <w:rFonts w:ascii="Arial" w:hAnsi="Arial" w:cs="Arial"/>
                <w:b/>
                <w:bCs/>
              </w:rPr>
              <w:t>£</w:t>
            </w:r>
          </w:p>
        </w:tc>
        <w:tc>
          <w:tcPr>
            <w:tcW w:w="1351" w:type="dxa"/>
            <w:shd w:val="clear" w:color="auto" w:fill="BFBFBF"/>
            <w:vAlign w:val="center"/>
          </w:tcPr>
          <w:p w:rsidR="0062597D" w:rsidRPr="00A61F2D" w:rsidRDefault="0062597D" w:rsidP="00CD4006">
            <w:pPr>
              <w:pStyle w:val="BodyText"/>
              <w:jc w:val="center"/>
              <w:rPr>
                <w:rFonts w:ascii="Arial" w:hAnsi="Arial" w:cs="Arial"/>
                <w:b/>
                <w:bCs/>
              </w:rPr>
            </w:pPr>
            <w:r>
              <w:rPr>
                <w:rFonts w:ascii="Arial" w:hAnsi="Arial" w:cs="Arial"/>
                <w:b/>
                <w:bCs/>
                <w:sz w:val="22"/>
                <w:szCs w:val="22"/>
              </w:rPr>
              <w:t>201</w:t>
            </w:r>
            <w:r w:rsidRPr="00A61F2D">
              <w:rPr>
                <w:rFonts w:ascii="Arial" w:hAnsi="Arial" w:cs="Arial"/>
                <w:b/>
                <w:bCs/>
                <w:sz w:val="22"/>
                <w:szCs w:val="22"/>
              </w:rPr>
              <w:t>4</w:t>
            </w:r>
            <w:r>
              <w:rPr>
                <w:rFonts w:ascii="Arial" w:hAnsi="Arial" w:cs="Arial"/>
                <w:b/>
                <w:bCs/>
                <w:sz w:val="22"/>
                <w:szCs w:val="22"/>
              </w:rPr>
              <w:t>/15</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Actual</w:t>
            </w:r>
          </w:p>
        </w:tc>
        <w:tc>
          <w:tcPr>
            <w:tcW w:w="1351" w:type="dxa"/>
            <w:shd w:val="clear" w:color="auto" w:fill="BFBFBF"/>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2015</w:t>
            </w:r>
            <w:r>
              <w:rPr>
                <w:rFonts w:ascii="Arial" w:hAnsi="Arial" w:cs="Arial"/>
                <w:b/>
                <w:bCs/>
                <w:sz w:val="22"/>
                <w:szCs w:val="22"/>
              </w:rPr>
              <w:t>/16</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c>
          <w:tcPr>
            <w:tcW w:w="1351" w:type="dxa"/>
            <w:shd w:val="clear" w:color="auto" w:fill="BFBFBF"/>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2016</w:t>
            </w:r>
            <w:r>
              <w:rPr>
                <w:rFonts w:ascii="Arial" w:hAnsi="Arial" w:cs="Arial"/>
                <w:b/>
                <w:bCs/>
                <w:sz w:val="22"/>
                <w:szCs w:val="22"/>
              </w:rPr>
              <w:t>/17</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c>
          <w:tcPr>
            <w:tcW w:w="1351" w:type="dxa"/>
            <w:shd w:val="clear" w:color="auto" w:fill="BFBFBF"/>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2017</w:t>
            </w:r>
            <w:r>
              <w:rPr>
                <w:rFonts w:ascii="Arial" w:hAnsi="Arial" w:cs="Arial"/>
                <w:b/>
                <w:bCs/>
                <w:sz w:val="22"/>
                <w:szCs w:val="22"/>
              </w:rPr>
              <w:t>/18</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c>
          <w:tcPr>
            <w:tcW w:w="1351" w:type="dxa"/>
            <w:shd w:val="clear" w:color="auto" w:fill="BFBFBF"/>
            <w:vAlign w:val="center"/>
          </w:tcPr>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201</w:t>
            </w:r>
            <w:r>
              <w:rPr>
                <w:rFonts w:ascii="Arial" w:hAnsi="Arial" w:cs="Arial"/>
                <w:b/>
                <w:bCs/>
                <w:sz w:val="22"/>
                <w:szCs w:val="22"/>
              </w:rPr>
              <w:t>8/19</w:t>
            </w:r>
          </w:p>
          <w:p w:rsidR="0062597D" w:rsidRPr="00A61F2D" w:rsidRDefault="0062597D" w:rsidP="00CD4006">
            <w:pPr>
              <w:pStyle w:val="BodyText"/>
              <w:jc w:val="center"/>
              <w:rPr>
                <w:rFonts w:ascii="Arial" w:hAnsi="Arial" w:cs="Arial"/>
                <w:b/>
                <w:bCs/>
              </w:rPr>
            </w:pPr>
            <w:r w:rsidRPr="00A61F2D">
              <w:rPr>
                <w:rFonts w:ascii="Arial" w:hAnsi="Arial" w:cs="Arial"/>
                <w:b/>
                <w:bCs/>
                <w:sz w:val="22"/>
                <w:szCs w:val="22"/>
              </w:rPr>
              <w:t>Estimate</w:t>
            </w:r>
          </w:p>
        </w:tc>
      </w:tr>
      <w:tr w:rsidR="00D6535E" w:rsidRPr="00A61F2D" w:rsidTr="005C004E">
        <w:tc>
          <w:tcPr>
            <w:tcW w:w="1608" w:type="dxa"/>
            <w:vAlign w:val="center"/>
          </w:tcPr>
          <w:p w:rsidR="00D6535E" w:rsidRPr="00A61F2D" w:rsidRDefault="00D6535E" w:rsidP="00CD4006">
            <w:pPr>
              <w:autoSpaceDE w:val="0"/>
              <w:autoSpaceDN w:val="0"/>
              <w:adjustRightInd w:val="0"/>
              <w:jc w:val="center"/>
              <w:rPr>
                <w:rFonts w:ascii="Arial" w:hAnsi="Arial" w:cs="Arial"/>
                <w:b/>
                <w:bCs/>
              </w:rPr>
            </w:pPr>
            <w:r w:rsidRPr="00A61F2D">
              <w:rPr>
                <w:rFonts w:ascii="Arial" w:hAnsi="Arial" w:cs="Arial"/>
                <w:b/>
                <w:bCs/>
                <w:sz w:val="22"/>
                <w:szCs w:val="22"/>
              </w:rPr>
              <w:t>Counc</w:t>
            </w:r>
            <w:r>
              <w:rPr>
                <w:rFonts w:ascii="Arial" w:hAnsi="Arial" w:cs="Arial"/>
                <w:b/>
                <w:bCs/>
                <w:sz w:val="22"/>
                <w:szCs w:val="22"/>
              </w:rPr>
              <w:t>il T</w:t>
            </w:r>
            <w:r w:rsidRPr="00A61F2D">
              <w:rPr>
                <w:rFonts w:ascii="Arial" w:hAnsi="Arial" w:cs="Arial"/>
                <w:b/>
                <w:bCs/>
                <w:sz w:val="22"/>
                <w:szCs w:val="22"/>
              </w:rPr>
              <w:t>ax</w:t>
            </w:r>
            <w:r w:rsidRPr="00A61F2D">
              <w:rPr>
                <w:rFonts w:ascii="Arial" w:hAnsi="Arial" w:cs="Arial"/>
                <w:sz w:val="22"/>
                <w:szCs w:val="22"/>
              </w:rPr>
              <w:t xml:space="preserve"> - </w:t>
            </w:r>
            <w:r>
              <w:rPr>
                <w:rFonts w:ascii="Arial" w:hAnsi="Arial" w:cs="Arial"/>
                <w:b/>
                <w:bCs/>
                <w:sz w:val="22"/>
                <w:szCs w:val="22"/>
              </w:rPr>
              <w:t>B</w:t>
            </w:r>
            <w:r w:rsidRPr="00A61F2D">
              <w:rPr>
                <w:rFonts w:ascii="Arial" w:hAnsi="Arial" w:cs="Arial"/>
                <w:b/>
                <w:bCs/>
                <w:sz w:val="22"/>
                <w:szCs w:val="22"/>
              </w:rPr>
              <w:t>and D</w:t>
            </w:r>
          </w:p>
        </w:tc>
        <w:tc>
          <w:tcPr>
            <w:tcW w:w="1351" w:type="dxa"/>
            <w:vAlign w:val="center"/>
          </w:tcPr>
          <w:p w:rsidR="00D6535E" w:rsidRPr="0049477C" w:rsidRDefault="005C004E" w:rsidP="005C004E">
            <w:pPr>
              <w:jc w:val="center"/>
              <w:rPr>
                <w:rFonts w:ascii="Arial" w:hAnsi="Arial" w:cs="Arial"/>
                <w:color w:val="000000" w:themeColor="text1"/>
              </w:rPr>
            </w:pPr>
            <w:r>
              <w:rPr>
                <w:rFonts w:ascii="Arial" w:hAnsi="Arial" w:cs="Arial"/>
                <w:sz w:val="20"/>
                <w:szCs w:val="20"/>
              </w:rPr>
              <w:t>£0.16</w:t>
            </w:r>
          </w:p>
        </w:tc>
        <w:tc>
          <w:tcPr>
            <w:tcW w:w="1351" w:type="dxa"/>
            <w:vAlign w:val="center"/>
          </w:tcPr>
          <w:p w:rsidR="00D6535E" w:rsidRPr="005C004E" w:rsidRDefault="005C004E" w:rsidP="00CD4006">
            <w:pPr>
              <w:jc w:val="center"/>
              <w:rPr>
                <w:rFonts w:ascii="Arial" w:hAnsi="Arial" w:cs="Arial"/>
                <w:sz w:val="20"/>
                <w:szCs w:val="20"/>
              </w:rPr>
            </w:pPr>
            <w:r>
              <w:rPr>
                <w:rFonts w:ascii="Arial" w:hAnsi="Arial" w:cs="Arial"/>
                <w:sz w:val="20"/>
                <w:szCs w:val="20"/>
              </w:rPr>
              <w:t>£0.32</w:t>
            </w:r>
          </w:p>
        </w:tc>
        <w:tc>
          <w:tcPr>
            <w:tcW w:w="1351" w:type="dxa"/>
            <w:vAlign w:val="center"/>
          </w:tcPr>
          <w:p w:rsidR="00D6535E" w:rsidRPr="005C004E" w:rsidRDefault="005C004E" w:rsidP="00CD4006">
            <w:pPr>
              <w:jc w:val="center"/>
              <w:rPr>
                <w:rFonts w:ascii="Arial" w:hAnsi="Arial" w:cs="Arial"/>
                <w:sz w:val="20"/>
                <w:szCs w:val="20"/>
              </w:rPr>
            </w:pPr>
            <w:r>
              <w:rPr>
                <w:rFonts w:ascii="Arial" w:hAnsi="Arial" w:cs="Arial"/>
                <w:sz w:val="20"/>
                <w:szCs w:val="20"/>
              </w:rPr>
              <w:t>£0.02</w:t>
            </w:r>
          </w:p>
        </w:tc>
        <w:tc>
          <w:tcPr>
            <w:tcW w:w="1351" w:type="dxa"/>
            <w:vAlign w:val="center"/>
          </w:tcPr>
          <w:p w:rsidR="00D6535E" w:rsidRPr="005C004E" w:rsidRDefault="005C004E" w:rsidP="00CD4006">
            <w:pPr>
              <w:jc w:val="center"/>
              <w:rPr>
                <w:rFonts w:ascii="Arial" w:hAnsi="Arial" w:cs="Arial"/>
                <w:sz w:val="20"/>
                <w:szCs w:val="20"/>
              </w:rPr>
            </w:pPr>
            <w:r>
              <w:rPr>
                <w:rFonts w:ascii="Arial" w:hAnsi="Arial" w:cs="Arial"/>
                <w:sz w:val="20"/>
                <w:szCs w:val="20"/>
              </w:rPr>
              <w:t>£0.02</w:t>
            </w:r>
          </w:p>
        </w:tc>
        <w:tc>
          <w:tcPr>
            <w:tcW w:w="1351" w:type="dxa"/>
            <w:vAlign w:val="center"/>
          </w:tcPr>
          <w:p w:rsidR="00D6535E" w:rsidRPr="005C004E" w:rsidRDefault="005C004E" w:rsidP="00CD4006">
            <w:pPr>
              <w:autoSpaceDE w:val="0"/>
              <w:autoSpaceDN w:val="0"/>
              <w:adjustRightInd w:val="0"/>
              <w:jc w:val="center"/>
              <w:rPr>
                <w:rFonts w:ascii="Arial" w:hAnsi="Arial" w:cs="Arial"/>
                <w:sz w:val="20"/>
                <w:szCs w:val="20"/>
              </w:rPr>
            </w:pPr>
            <w:r>
              <w:rPr>
                <w:rFonts w:ascii="Arial" w:hAnsi="Arial" w:cs="Arial"/>
                <w:sz w:val="20"/>
                <w:szCs w:val="20"/>
              </w:rPr>
              <w:t>£0.00</w:t>
            </w:r>
          </w:p>
        </w:tc>
      </w:tr>
    </w:tbl>
    <w:p w:rsidR="00D6535E" w:rsidRDefault="00D6535E" w:rsidP="00D6535E"/>
    <w:p w:rsidR="00D6535E" w:rsidRPr="00670B8D" w:rsidRDefault="00D6535E" w:rsidP="00D6535E">
      <w:pPr>
        <w:rPr>
          <w:rFonts w:ascii="Arial" w:hAnsi="Arial" w:cs="Arial"/>
          <w:b/>
        </w:rPr>
      </w:pPr>
      <w:r w:rsidRPr="00670B8D">
        <w:rPr>
          <w:rFonts w:ascii="Arial" w:hAnsi="Arial" w:cs="Arial"/>
          <w:b/>
        </w:rPr>
        <w:t>Treasury Management Strategy</w:t>
      </w:r>
    </w:p>
    <w:p w:rsidR="00D6535E" w:rsidRPr="001F4D26" w:rsidRDefault="00D6535E" w:rsidP="00D6535E">
      <w:pPr>
        <w:rPr>
          <w:noProof/>
        </w:rPr>
      </w:pPr>
    </w:p>
    <w:p w:rsidR="00D6535E" w:rsidRPr="00670B8D" w:rsidRDefault="00D6535E" w:rsidP="00D6535E">
      <w:pPr>
        <w:ind w:left="720" w:hanging="720"/>
        <w:jc w:val="both"/>
        <w:rPr>
          <w:rFonts w:ascii="Arial" w:hAnsi="Arial" w:cs="Arial"/>
          <w:noProof/>
        </w:rPr>
      </w:pPr>
      <w:r w:rsidRPr="00670B8D">
        <w:rPr>
          <w:rFonts w:ascii="Arial" w:hAnsi="Arial" w:cs="Arial"/>
          <w:noProof/>
        </w:rPr>
        <w:t>1</w:t>
      </w:r>
      <w:r>
        <w:rPr>
          <w:rFonts w:ascii="Arial" w:hAnsi="Arial" w:cs="Arial"/>
          <w:noProof/>
        </w:rPr>
        <w:t>0</w:t>
      </w:r>
      <w:r w:rsidRPr="00670B8D">
        <w:rPr>
          <w:rFonts w:ascii="Arial" w:hAnsi="Arial" w:cs="Arial"/>
          <w:noProof/>
        </w:rPr>
        <w:t>.</w:t>
      </w:r>
      <w:r w:rsidRPr="00670B8D">
        <w:rPr>
          <w:rFonts w:ascii="Arial" w:hAnsi="Arial" w:cs="Arial"/>
          <w:noProof/>
        </w:rPr>
        <w:tab/>
        <w:t>The capital expenditure plans set out earlier provide details of the service activity of the Council.  The treasury management function ensures that the Council’s cash is organised in accordance with the the relevant professional codes, so that sufficient cash is available to meet this service activity.  This will involve both the management of short and long-term cashflows and, where capital plans require, the organisation of approporiate borrowing facilities.  The strategy covers the relevant treasury / prudential indicators, the current and projected debt positions and the annual investment strategy.</w:t>
      </w:r>
    </w:p>
    <w:p w:rsidR="00D6535E" w:rsidRPr="00670B8D" w:rsidRDefault="00D6535E" w:rsidP="00D6535E">
      <w:pPr>
        <w:ind w:left="720" w:hanging="720"/>
        <w:jc w:val="both"/>
        <w:rPr>
          <w:rFonts w:ascii="Arial" w:hAnsi="Arial" w:cs="Arial"/>
          <w:noProof/>
        </w:rPr>
      </w:pPr>
    </w:p>
    <w:p w:rsidR="00D6535E" w:rsidRDefault="00D6535E" w:rsidP="00D6535E">
      <w:pPr>
        <w:ind w:left="720" w:hanging="720"/>
        <w:jc w:val="both"/>
        <w:rPr>
          <w:rFonts w:ascii="Arial" w:hAnsi="Arial" w:cs="Arial"/>
          <w:bCs/>
          <w:noProof/>
        </w:rPr>
      </w:pPr>
      <w:r w:rsidRPr="00670B8D">
        <w:rPr>
          <w:rFonts w:ascii="Arial" w:hAnsi="Arial" w:cs="Arial"/>
          <w:bCs/>
          <w:noProof/>
        </w:rPr>
        <w:t>1</w:t>
      </w:r>
      <w:r>
        <w:rPr>
          <w:rFonts w:ascii="Arial" w:hAnsi="Arial" w:cs="Arial"/>
          <w:bCs/>
          <w:noProof/>
        </w:rPr>
        <w:t>1</w:t>
      </w:r>
      <w:r w:rsidRPr="00670B8D">
        <w:rPr>
          <w:rFonts w:ascii="Arial" w:hAnsi="Arial" w:cs="Arial"/>
          <w:bCs/>
          <w:noProof/>
        </w:rPr>
        <w:t>.</w:t>
      </w:r>
      <w:r w:rsidRPr="00670B8D">
        <w:rPr>
          <w:rFonts w:ascii="Arial" w:hAnsi="Arial" w:cs="Arial"/>
          <w:bCs/>
          <w:noProof/>
        </w:rPr>
        <w:tab/>
        <w:t>The Council has a nil CFR and does not have any actual borrowing either now or currently planned. As such there is no difference between the actual external debt position against the underlying capital borrowing need (CFR). If the proposed Leisure Centre project in Bexhill is viable this position may change and this Strategy will need to be updated to reflect the funding sources which may include borrowing.</w:t>
      </w:r>
    </w:p>
    <w:p w:rsidR="00D6535E" w:rsidRPr="00670B8D" w:rsidRDefault="00D6535E" w:rsidP="00D6535E">
      <w:pPr>
        <w:ind w:left="720" w:hanging="720"/>
        <w:jc w:val="both"/>
        <w:rPr>
          <w:rFonts w:ascii="Arial" w:hAnsi="Arial" w:cs="Arial"/>
          <w:noProof/>
        </w:rPr>
      </w:pPr>
    </w:p>
    <w:p w:rsidR="00D6535E" w:rsidRDefault="00D6535E" w:rsidP="00D6535E">
      <w:pPr>
        <w:ind w:left="720" w:hanging="720"/>
        <w:jc w:val="both"/>
        <w:rPr>
          <w:rFonts w:ascii="Arial" w:hAnsi="Arial" w:cs="Arial"/>
        </w:rPr>
      </w:pPr>
      <w:r w:rsidRPr="00670B8D">
        <w:rPr>
          <w:rFonts w:ascii="Arial" w:hAnsi="Arial" w:cs="Arial"/>
        </w:rPr>
        <w:t>1</w:t>
      </w:r>
      <w:r>
        <w:rPr>
          <w:rFonts w:ascii="Arial" w:hAnsi="Arial" w:cs="Arial"/>
        </w:rPr>
        <w:t>2</w:t>
      </w:r>
      <w:r w:rsidRPr="00670B8D">
        <w:rPr>
          <w:rFonts w:ascii="Arial" w:hAnsi="Arial" w:cs="Arial"/>
        </w:rPr>
        <w:t>.</w:t>
      </w:r>
      <w:r w:rsidRPr="00670B8D">
        <w:rPr>
          <w:rFonts w:ascii="Arial" w:hAnsi="Arial" w:cs="Arial"/>
        </w:rPr>
        <w:tab/>
        <w:t xml:space="preserve">Within the prudential indicators there are a number of key indicators to ensure that the Council operates its activities within </w:t>
      </w:r>
      <w:proofErr w:type="spellStart"/>
      <w:r w:rsidRPr="00670B8D">
        <w:rPr>
          <w:rFonts w:ascii="Arial" w:hAnsi="Arial" w:cs="Arial"/>
        </w:rPr>
        <w:t>well defined</w:t>
      </w:r>
      <w:proofErr w:type="spellEnd"/>
      <w:r w:rsidRPr="00670B8D">
        <w:rPr>
          <w:rFonts w:ascii="Arial" w:hAnsi="Arial" w:cs="Arial"/>
        </w:rPr>
        <w:t xml:space="preserve"> limits. One of these is that</w:t>
      </w:r>
      <w:r w:rsidRPr="00670B8D">
        <w:rPr>
          <w:rFonts w:ascii="Arial" w:hAnsi="Arial" w:cs="Arial"/>
          <w:noProof/>
          <w:spacing w:val="-5"/>
        </w:rPr>
        <w:t xml:space="preserve"> the Council needs to ensure that its gross debt does not, except in the short term, exceed the total of the CFR in the preceding year plus the estimates of any additional CFR for </w:t>
      </w:r>
      <w:r w:rsidR="0062597D">
        <w:rPr>
          <w:rFonts w:ascii="Arial" w:hAnsi="Arial" w:cs="Arial"/>
          <w:noProof/>
          <w:spacing w:val="-5"/>
        </w:rPr>
        <w:t>2016/17</w:t>
      </w:r>
      <w:r w:rsidRPr="00670B8D">
        <w:rPr>
          <w:rFonts w:ascii="Arial" w:hAnsi="Arial" w:cs="Arial"/>
          <w:noProof/>
          <w:spacing w:val="-5"/>
        </w:rPr>
        <w:t xml:space="preserve"> and the following two financial years. This allows </w:t>
      </w:r>
      <w:r w:rsidRPr="00670B8D">
        <w:rPr>
          <w:rFonts w:ascii="Arial" w:hAnsi="Arial" w:cs="Arial"/>
          <w:noProof/>
          <w:spacing w:val="-5"/>
        </w:rPr>
        <w:lastRenderedPageBreak/>
        <w:t>some flexibility for limited early borrowing for future years</w:t>
      </w:r>
      <w:r w:rsidRPr="00670B8D">
        <w:rPr>
          <w:rFonts w:ascii="Arial" w:hAnsi="Arial" w:cs="Arial"/>
        </w:rPr>
        <w:t>, but ensures that borrowing is not undertaken for revenue purposes.</w:t>
      </w:r>
    </w:p>
    <w:p w:rsidR="00D6535E" w:rsidRPr="00670B8D" w:rsidRDefault="00D6535E" w:rsidP="00D6535E">
      <w:pPr>
        <w:ind w:left="720" w:hanging="720"/>
        <w:jc w:val="both"/>
        <w:rPr>
          <w:rFonts w:ascii="Arial" w:hAnsi="Arial" w:cs="Arial"/>
        </w:rPr>
      </w:pPr>
      <w:r w:rsidRPr="00670B8D">
        <w:rPr>
          <w:rFonts w:ascii="Arial" w:hAnsi="Arial" w:cs="Arial"/>
        </w:rPr>
        <w:t xml:space="preserve">   </w:t>
      </w:r>
    </w:p>
    <w:p w:rsidR="00D6535E" w:rsidRPr="00670B8D" w:rsidRDefault="00D6535E" w:rsidP="00D6535E">
      <w:pPr>
        <w:ind w:left="720" w:hanging="720"/>
        <w:jc w:val="both"/>
        <w:rPr>
          <w:rFonts w:ascii="Arial" w:hAnsi="Arial" w:cs="Arial"/>
        </w:rPr>
      </w:pPr>
      <w:r w:rsidRPr="00670B8D">
        <w:rPr>
          <w:rFonts w:ascii="Arial" w:hAnsi="Arial" w:cs="Arial"/>
        </w:rPr>
        <w:t>1</w:t>
      </w:r>
      <w:r>
        <w:rPr>
          <w:rFonts w:ascii="Arial" w:hAnsi="Arial" w:cs="Arial"/>
        </w:rPr>
        <w:t>3</w:t>
      </w:r>
      <w:r w:rsidRPr="00670B8D">
        <w:rPr>
          <w:rFonts w:ascii="Arial" w:hAnsi="Arial" w:cs="Arial"/>
        </w:rPr>
        <w:t>.</w:t>
      </w:r>
      <w:r w:rsidRPr="00670B8D">
        <w:rPr>
          <w:rFonts w:ascii="Arial" w:hAnsi="Arial" w:cs="Arial"/>
        </w:rPr>
        <w:tab/>
        <w:t xml:space="preserve">The Section 151 Officer reports that the Council complied with this prudential indicator in the current year and does not envisage difficulties for the future.  This view takes into account current commitments, existing plans, and the proposals in this budget report.  </w:t>
      </w:r>
    </w:p>
    <w:p w:rsidR="00D6535E" w:rsidRDefault="00D6535E" w:rsidP="00D6535E">
      <w:pPr>
        <w:ind w:left="720" w:hanging="720"/>
        <w:jc w:val="both"/>
        <w:rPr>
          <w:rFonts w:ascii="Arial" w:hAnsi="Arial" w:cs="Arial"/>
        </w:rPr>
      </w:pPr>
      <w:bookmarkStart w:id="0" w:name="_Toc339459877"/>
    </w:p>
    <w:p w:rsidR="00D6535E" w:rsidRPr="00670B8D" w:rsidRDefault="00D6535E" w:rsidP="00D6535E">
      <w:pPr>
        <w:ind w:left="720" w:hanging="720"/>
        <w:jc w:val="both"/>
        <w:rPr>
          <w:rFonts w:ascii="Arial" w:hAnsi="Arial" w:cs="Arial"/>
          <w:b/>
        </w:rPr>
      </w:pPr>
      <w:r w:rsidRPr="00670B8D">
        <w:rPr>
          <w:rFonts w:ascii="Arial" w:hAnsi="Arial" w:cs="Arial"/>
          <w:b/>
        </w:rPr>
        <w:t>Treasury Indicators: limits to borrowing activity</w:t>
      </w:r>
      <w:bookmarkEnd w:id="0"/>
    </w:p>
    <w:p w:rsidR="00D6535E" w:rsidRDefault="00D6535E" w:rsidP="00D6535E"/>
    <w:p w:rsidR="00D6535E" w:rsidRDefault="00D6535E" w:rsidP="00D6535E">
      <w:pPr>
        <w:pStyle w:val="BodyText"/>
        <w:spacing w:after="120"/>
        <w:ind w:left="720" w:hanging="720"/>
        <w:jc w:val="both"/>
        <w:rPr>
          <w:rFonts w:ascii="Arial" w:hAnsi="Arial" w:cs="Arial"/>
        </w:rPr>
      </w:pPr>
      <w:r w:rsidRPr="001F4D26">
        <w:rPr>
          <w:rFonts w:ascii="Arial" w:hAnsi="Arial" w:cs="Arial"/>
        </w:rPr>
        <w:t>1</w:t>
      </w:r>
      <w:r>
        <w:rPr>
          <w:rFonts w:ascii="Arial" w:hAnsi="Arial" w:cs="Arial"/>
        </w:rPr>
        <w:t>4</w:t>
      </w:r>
      <w:r w:rsidRPr="001F4D26">
        <w:rPr>
          <w:rFonts w:ascii="Arial" w:hAnsi="Arial" w:cs="Arial"/>
        </w:rPr>
        <w:t>.</w:t>
      </w:r>
      <w:r w:rsidRPr="001F4D26">
        <w:rPr>
          <w:rFonts w:ascii="Arial" w:hAnsi="Arial" w:cs="Arial"/>
          <w:b/>
        </w:rPr>
        <w:tab/>
        <w:t xml:space="preserve">The operational boundary.  </w:t>
      </w:r>
      <w:r w:rsidRPr="001F4D26">
        <w:rPr>
          <w:rFonts w:ascii="Arial" w:hAnsi="Arial" w:cs="Arial"/>
        </w:rPr>
        <w:t>This is the limit beyond which external de</w:t>
      </w:r>
      <w:r>
        <w:rPr>
          <w:rFonts w:ascii="Arial" w:hAnsi="Arial" w:cs="Arial"/>
        </w:rPr>
        <w:t>bt is not normally expected to exceed</w:t>
      </w:r>
      <w:r w:rsidRPr="001F4D26">
        <w:rPr>
          <w:rFonts w:ascii="Arial" w:hAnsi="Arial" w:cs="Arial"/>
        </w:rPr>
        <w:t xml:space="preserve">, but </w:t>
      </w:r>
      <w:r>
        <w:rPr>
          <w:rFonts w:ascii="Arial" w:hAnsi="Arial" w:cs="Arial"/>
        </w:rPr>
        <w:t xml:space="preserve">it </w:t>
      </w:r>
      <w:r w:rsidRPr="001F4D26">
        <w:rPr>
          <w:rFonts w:ascii="Arial" w:hAnsi="Arial" w:cs="Arial"/>
        </w:rPr>
        <w:t xml:space="preserve">may be </w:t>
      </w:r>
      <w:r>
        <w:rPr>
          <w:rFonts w:ascii="Arial" w:hAnsi="Arial" w:cs="Arial"/>
        </w:rPr>
        <w:t xml:space="preserve">marginally </w:t>
      </w:r>
      <w:r w:rsidRPr="001F4D26">
        <w:rPr>
          <w:rFonts w:ascii="Arial" w:hAnsi="Arial" w:cs="Arial"/>
        </w:rPr>
        <w:t xml:space="preserve">lower or higher depending on </w:t>
      </w:r>
      <w:r>
        <w:rPr>
          <w:rFonts w:ascii="Arial" w:hAnsi="Arial" w:cs="Arial"/>
        </w:rPr>
        <w:t xml:space="preserve">day to day </w:t>
      </w:r>
      <w:proofErr w:type="spellStart"/>
      <w:r>
        <w:rPr>
          <w:rFonts w:ascii="Arial" w:hAnsi="Arial" w:cs="Arial"/>
        </w:rPr>
        <w:t>cashflow</w:t>
      </w:r>
      <w:proofErr w:type="spellEnd"/>
      <w:r>
        <w:rPr>
          <w:rFonts w:ascii="Arial" w:hAnsi="Arial" w:cs="Arial"/>
        </w:rPr>
        <w:t xml:space="preserve"> and in-year funding requirements</w:t>
      </w:r>
      <w:r w:rsidRPr="001F4D26">
        <w:rPr>
          <w:rFonts w:ascii="Arial" w:hAnsi="Arial" w:cs="Arial"/>
        </w:rPr>
        <w:t>.</w:t>
      </w:r>
    </w:p>
    <w:p w:rsidR="00D6535E" w:rsidRDefault="00D6535E" w:rsidP="00D6535E"/>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559"/>
        <w:gridCol w:w="1559"/>
        <w:gridCol w:w="1560"/>
        <w:gridCol w:w="1275"/>
      </w:tblGrid>
      <w:tr w:rsidR="0062597D" w:rsidRPr="001F4D26" w:rsidTr="00CD4006">
        <w:tc>
          <w:tcPr>
            <w:tcW w:w="2410" w:type="dxa"/>
            <w:shd w:val="clear" w:color="auto" w:fill="B3B3B3"/>
            <w:vAlign w:val="center"/>
          </w:tcPr>
          <w:p w:rsidR="0062597D" w:rsidRPr="001F4D26" w:rsidRDefault="0062597D" w:rsidP="00CD4006">
            <w:pPr>
              <w:jc w:val="center"/>
              <w:rPr>
                <w:rFonts w:ascii="Arial" w:hAnsi="Arial" w:cs="Arial"/>
                <w:spacing w:val="-5"/>
              </w:rPr>
            </w:pPr>
            <w:r w:rsidRPr="001F4D26">
              <w:rPr>
                <w:rFonts w:ascii="Arial" w:hAnsi="Arial" w:cs="Arial"/>
                <w:b/>
                <w:bCs/>
              </w:rPr>
              <w:t>Operational</w:t>
            </w:r>
            <w:r>
              <w:rPr>
                <w:rFonts w:ascii="Arial" w:hAnsi="Arial" w:cs="Arial"/>
                <w:b/>
                <w:bCs/>
              </w:rPr>
              <w:t xml:space="preserve"> </w:t>
            </w:r>
            <w:r w:rsidRPr="001F4D26">
              <w:rPr>
                <w:rFonts w:ascii="Arial" w:hAnsi="Arial" w:cs="Arial"/>
                <w:b/>
                <w:bCs/>
              </w:rPr>
              <w:t>boundary</w:t>
            </w:r>
          </w:p>
        </w:tc>
        <w:tc>
          <w:tcPr>
            <w:tcW w:w="1559" w:type="dxa"/>
            <w:shd w:val="clear" w:color="auto" w:fill="B3B3B3"/>
            <w:vAlign w:val="center"/>
          </w:tcPr>
          <w:p w:rsidR="0062597D" w:rsidRPr="001F4D26" w:rsidRDefault="0062597D" w:rsidP="00CD4006">
            <w:pPr>
              <w:pStyle w:val="BodyText"/>
              <w:jc w:val="center"/>
              <w:rPr>
                <w:rFonts w:ascii="Arial" w:hAnsi="Arial" w:cs="Arial"/>
                <w:b/>
                <w:bCs/>
                <w:lang w:val="en-US"/>
              </w:rPr>
            </w:pPr>
            <w:r w:rsidRPr="001F4D26">
              <w:rPr>
                <w:rFonts w:ascii="Arial" w:hAnsi="Arial" w:cs="Arial"/>
                <w:b/>
                <w:bCs/>
                <w:lang w:val="en-US"/>
              </w:rPr>
              <w:t>2015</w:t>
            </w:r>
            <w:r>
              <w:rPr>
                <w:rFonts w:ascii="Arial" w:hAnsi="Arial" w:cs="Arial"/>
                <w:b/>
                <w:bCs/>
                <w:lang w:val="en-US"/>
              </w:rPr>
              <w:t>/16</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c>
          <w:tcPr>
            <w:tcW w:w="1559" w:type="dxa"/>
            <w:shd w:val="clear" w:color="auto" w:fill="B3B3B3"/>
            <w:vAlign w:val="center"/>
          </w:tcPr>
          <w:p w:rsidR="0062597D" w:rsidRPr="001F4D26" w:rsidRDefault="0062597D" w:rsidP="00CD4006">
            <w:pPr>
              <w:pStyle w:val="BodyText"/>
              <w:jc w:val="center"/>
              <w:rPr>
                <w:rFonts w:ascii="Arial" w:hAnsi="Arial" w:cs="Arial"/>
                <w:b/>
                <w:bCs/>
                <w:lang w:val="en-US"/>
              </w:rPr>
            </w:pPr>
            <w:r w:rsidRPr="001F4D26">
              <w:rPr>
                <w:rFonts w:ascii="Arial" w:hAnsi="Arial" w:cs="Arial"/>
                <w:b/>
                <w:bCs/>
                <w:lang w:val="en-US"/>
              </w:rPr>
              <w:t>2016</w:t>
            </w:r>
            <w:r>
              <w:rPr>
                <w:rFonts w:ascii="Arial" w:hAnsi="Arial" w:cs="Arial"/>
                <w:b/>
                <w:bCs/>
                <w:lang w:val="en-US"/>
              </w:rPr>
              <w:t>/17</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c>
          <w:tcPr>
            <w:tcW w:w="1560" w:type="dxa"/>
            <w:shd w:val="clear" w:color="auto" w:fill="B3B3B3"/>
            <w:vAlign w:val="center"/>
          </w:tcPr>
          <w:p w:rsidR="0062597D" w:rsidRPr="001F4D26" w:rsidRDefault="0062597D" w:rsidP="00CD4006">
            <w:pPr>
              <w:pStyle w:val="BodyText"/>
              <w:jc w:val="center"/>
              <w:rPr>
                <w:rFonts w:ascii="Arial" w:hAnsi="Arial" w:cs="Arial"/>
                <w:b/>
                <w:bCs/>
                <w:lang w:val="en-US"/>
              </w:rPr>
            </w:pPr>
            <w:r w:rsidRPr="001F4D26">
              <w:rPr>
                <w:rFonts w:ascii="Arial" w:hAnsi="Arial" w:cs="Arial"/>
                <w:b/>
                <w:bCs/>
                <w:lang w:val="en-US"/>
              </w:rPr>
              <w:t>2017</w:t>
            </w:r>
            <w:r>
              <w:rPr>
                <w:rFonts w:ascii="Arial" w:hAnsi="Arial" w:cs="Arial"/>
                <w:b/>
                <w:bCs/>
                <w:lang w:val="en-US"/>
              </w:rPr>
              <w:t>/18</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c>
          <w:tcPr>
            <w:tcW w:w="1275" w:type="dxa"/>
            <w:shd w:val="clear" w:color="auto" w:fill="B3B3B3"/>
            <w:vAlign w:val="center"/>
          </w:tcPr>
          <w:p w:rsidR="0062597D" w:rsidRPr="001F4D26" w:rsidRDefault="0062597D" w:rsidP="00CD4006">
            <w:pPr>
              <w:pStyle w:val="BodyText"/>
              <w:jc w:val="center"/>
              <w:rPr>
                <w:rFonts w:ascii="Arial" w:hAnsi="Arial" w:cs="Arial"/>
                <w:b/>
                <w:bCs/>
                <w:lang w:val="en-US"/>
              </w:rPr>
            </w:pPr>
            <w:r>
              <w:rPr>
                <w:rFonts w:ascii="Arial" w:hAnsi="Arial" w:cs="Arial"/>
                <w:b/>
                <w:bCs/>
                <w:lang w:val="en-US"/>
              </w:rPr>
              <w:t>2018/19</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r>
      <w:tr w:rsidR="00D6535E" w:rsidRPr="001F4D26" w:rsidTr="00CD4006">
        <w:tc>
          <w:tcPr>
            <w:tcW w:w="2410" w:type="dxa"/>
            <w:vAlign w:val="center"/>
          </w:tcPr>
          <w:p w:rsidR="00D6535E" w:rsidRPr="001F4D26" w:rsidRDefault="00D6535E" w:rsidP="00CD4006">
            <w:pPr>
              <w:rPr>
                <w:rFonts w:ascii="Arial" w:hAnsi="Arial" w:cs="Arial"/>
                <w:spacing w:val="-5"/>
              </w:rPr>
            </w:pPr>
            <w:r w:rsidRPr="001F4D26">
              <w:rPr>
                <w:rFonts w:ascii="Arial" w:hAnsi="Arial" w:cs="Arial"/>
              </w:rPr>
              <w:t>Debt</w:t>
            </w:r>
          </w:p>
        </w:tc>
        <w:tc>
          <w:tcPr>
            <w:tcW w:w="1559"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15,000</w:t>
            </w:r>
          </w:p>
        </w:tc>
        <w:tc>
          <w:tcPr>
            <w:tcW w:w="1559"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15,000</w:t>
            </w:r>
          </w:p>
        </w:tc>
        <w:tc>
          <w:tcPr>
            <w:tcW w:w="1560"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15,000</w:t>
            </w:r>
          </w:p>
        </w:tc>
        <w:tc>
          <w:tcPr>
            <w:tcW w:w="1275"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15,000</w:t>
            </w:r>
          </w:p>
        </w:tc>
      </w:tr>
      <w:tr w:rsidR="00D6535E" w:rsidRPr="001F4D26" w:rsidTr="00CD4006">
        <w:tc>
          <w:tcPr>
            <w:tcW w:w="2410" w:type="dxa"/>
            <w:vAlign w:val="center"/>
          </w:tcPr>
          <w:p w:rsidR="00D6535E" w:rsidRPr="001F4D26" w:rsidRDefault="00D6535E" w:rsidP="00CD4006">
            <w:pPr>
              <w:rPr>
                <w:rFonts w:ascii="Arial" w:hAnsi="Arial" w:cs="Arial"/>
                <w:spacing w:val="-5"/>
              </w:rPr>
            </w:pPr>
            <w:r w:rsidRPr="001F4D26">
              <w:rPr>
                <w:rFonts w:ascii="Arial" w:hAnsi="Arial" w:cs="Arial"/>
              </w:rPr>
              <w:t>Other long term liabilities</w:t>
            </w:r>
          </w:p>
        </w:tc>
        <w:tc>
          <w:tcPr>
            <w:tcW w:w="1559"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c>
          <w:tcPr>
            <w:tcW w:w="1559"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c>
          <w:tcPr>
            <w:tcW w:w="1560"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c>
          <w:tcPr>
            <w:tcW w:w="1275"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r>
      <w:tr w:rsidR="00D6535E" w:rsidRPr="001F4D26" w:rsidTr="00CD4006">
        <w:tc>
          <w:tcPr>
            <w:tcW w:w="2410" w:type="dxa"/>
            <w:vAlign w:val="center"/>
          </w:tcPr>
          <w:p w:rsidR="00D6535E" w:rsidRPr="001F4D26" w:rsidRDefault="00D6535E" w:rsidP="00CD4006">
            <w:pPr>
              <w:rPr>
                <w:rFonts w:ascii="Arial" w:hAnsi="Arial" w:cs="Arial"/>
                <w:spacing w:val="-5"/>
              </w:rPr>
            </w:pPr>
            <w:r w:rsidRPr="001F4D26">
              <w:rPr>
                <w:rFonts w:ascii="Arial" w:hAnsi="Arial" w:cs="Arial"/>
              </w:rPr>
              <w:t>Total</w:t>
            </w:r>
          </w:p>
        </w:tc>
        <w:tc>
          <w:tcPr>
            <w:tcW w:w="1559" w:type="dxa"/>
            <w:vAlign w:val="center"/>
          </w:tcPr>
          <w:p w:rsidR="00D6535E" w:rsidRPr="009468B9" w:rsidRDefault="00D6535E" w:rsidP="00CD4006">
            <w:pPr>
              <w:jc w:val="right"/>
              <w:rPr>
                <w:rFonts w:ascii="Arial" w:hAnsi="Arial" w:cs="Arial"/>
                <w:b/>
                <w:color w:val="000000" w:themeColor="text1"/>
                <w:spacing w:val="-5"/>
              </w:rPr>
            </w:pPr>
            <w:r w:rsidRPr="009468B9">
              <w:rPr>
                <w:rFonts w:ascii="Arial" w:hAnsi="Arial" w:cs="Arial"/>
                <w:b/>
                <w:color w:val="000000" w:themeColor="text1"/>
                <w:spacing w:val="-5"/>
              </w:rPr>
              <w:t>15,000</w:t>
            </w:r>
          </w:p>
        </w:tc>
        <w:tc>
          <w:tcPr>
            <w:tcW w:w="1559" w:type="dxa"/>
            <w:vAlign w:val="center"/>
          </w:tcPr>
          <w:p w:rsidR="00D6535E" w:rsidRPr="009468B9" w:rsidRDefault="00D6535E" w:rsidP="00CD4006">
            <w:pPr>
              <w:tabs>
                <w:tab w:val="right" w:pos="702"/>
              </w:tabs>
              <w:jc w:val="right"/>
              <w:rPr>
                <w:rFonts w:ascii="Arial" w:hAnsi="Arial" w:cs="Arial"/>
                <w:b/>
                <w:color w:val="000000" w:themeColor="text1"/>
                <w:spacing w:val="-5"/>
              </w:rPr>
            </w:pPr>
            <w:r w:rsidRPr="009468B9">
              <w:rPr>
                <w:rFonts w:ascii="Arial" w:hAnsi="Arial" w:cs="Arial"/>
                <w:b/>
                <w:color w:val="000000" w:themeColor="text1"/>
                <w:spacing w:val="-5"/>
              </w:rPr>
              <w:t>15,000</w:t>
            </w:r>
          </w:p>
        </w:tc>
        <w:tc>
          <w:tcPr>
            <w:tcW w:w="1560" w:type="dxa"/>
            <w:vAlign w:val="center"/>
          </w:tcPr>
          <w:p w:rsidR="00D6535E" w:rsidRPr="009468B9" w:rsidRDefault="00D6535E" w:rsidP="00CD4006">
            <w:pPr>
              <w:tabs>
                <w:tab w:val="right" w:pos="702"/>
              </w:tabs>
              <w:jc w:val="right"/>
              <w:rPr>
                <w:rFonts w:ascii="Arial" w:hAnsi="Arial" w:cs="Arial"/>
                <w:b/>
                <w:color w:val="000000" w:themeColor="text1"/>
                <w:spacing w:val="-5"/>
              </w:rPr>
            </w:pPr>
            <w:r w:rsidRPr="009468B9">
              <w:rPr>
                <w:rFonts w:ascii="Arial" w:hAnsi="Arial" w:cs="Arial"/>
                <w:b/>
                <w:color w:val="000000" w:themeColor="text1"/>
                <w:spacing w:val="-5"/>
              </w:rPr>
              <w:t>15,000</w:t>
            </w:r>
          </w:p>
        </w:tc>
        <w:tc>
          <w:tcPr>
            <w:tcW w:w="1275" w:type="dxa"/>
            <w:vAlign w:val="center"/>
          </w:tcPr>
          <w:p w:rsidR="00D6535E" w:rsidRPr="009468B9" w:rsidRDefault="00D6535E" w:rsidP="00CD4006">
            <w:pPr>
              <w:tabs>
                <w:tab w:val="right" w:pos="702"/>
              </w:tabs>
              <w:jc w:val="right"/>
              <w:rPr>
                <w:rFonts w:ascii="Arial" w:hAnsi="Arial" w:cs="Arial"/>
                <w:b/>
                <w:color w:val="000000" w:themeColor="text1"/>
                <w:spacing w:val="-5"/>
              </w:rPr>
            </w:pPr>
            <w:r w:rsidRPr="009468B9">
              <w:rPr>
                <w:rFonts w:ascii="Arial" w:hAnsi="Arial" w:cs="Arial"/>
                <w:b/>
                <w:color w:val="000000" w:themeColor="text1"/>
                <w:spacing w:val="-5"/>
              </w:rPr>
              <w:t>15,000</w:t>
            </w:r>
          </w:p>
        </w:tc>
      </w:tr>
    </w:tbl>
    <w:p w:rsidR="00D6535E" w:rsidRPr="0012482B" w:rsidRDefault="00D6535E" w:rsidP="00D6535E">
      <w:pPr>
        <w:rPr>
          <w:rFonts w:ascii="Arial" w:hAnsi="Arial" w:cs="Arial"/>
        </w:rPr>
      </w:pPr>
    </w:p>
    <w:p w:rsidR="00D6535E" w:rsidRPr="0012482B" w:rsidRDefault="00D6535E" w:rsidP="00D6535E">
      <w:pPr>
        <w:ind w:left="720" w:hanging="720"/>
        <w:jc w:val="both"/>
        <w:rPr>
          <w:rFonts w:ascii="Arial" w:hAnsi="Arial" w:cs="Arial"/>
        </w:rPr>
      </w:pPr>
      <w:r w:rsidRPr="0012482B">
        <w:rPr>
          <w:rFonts w:ascii="Arial" w:hAnsi="Arial" w:cs="Arial"/>
        </w:rPr>
        <w:t>1</w:t>
      </w:r>
      <w:r>
        <w:rPr>
          <w:rFonts w:ascii="Arial" w:hAnsi="Arial" w:cs="Arial"/>
        </w:rPr>
        <w:t>5</w:t>
      </w:r>
      <w:r w:rsidRPr="0012482B">
        <w:rPr>
          <w:rFonts w:ascii="Arial" w:hAnsi="Arial" w:cs="Arial"/>
        </w:rPr>
        <w:t>.</w:t>
      </w:r>
      <w:r w:rsidRPr="0012482B">
        <w:rPr>
          <w:rFonts w:ascii="Arial" w:hAnsi="Arial" w:cs="Arial"/>
          <w:b/>
        </w:rPr>
        <w:tab/>
        <w:t>The authorised limit for external debt.</w:t>
      </w:r>
      <w:r w:rsidRPr="0012482B">
        <w:rPr>
          <w:rFonts w:ascii="Arial" w:hAnsi="Arial" w:cs="Arial"/>
        </w:rPr>
        <w:t xml:space="preserve"> A further key prudential indicator, this represents a control on the maximum level of borrowing that may be undertaken in total.  This represents a limit beyond which external debt is prohibited, and this limit needs to be set or revised by the full Council.  It reflects the level of external debt which, while not desired, could be afforded in the short term, but is not sustainable in the longer term.  </w:t>
      </w:r>
    </w:p>
    <w:p w:rsidR="00D6535E" w:rsidRDefault="00D6535E" w:rsidP="00D6535E">
      <w:pPr>
        <w:rPr>
          <w:rFonts w:ascii="Arial" w:hAnsi="Arial" w:cs="Arial"/>
        </w:rPr>
      </w:pPr>
    </w:p>
    <w:p w:rsidR="00D6535E" w:rsidRDefault="00D6535E" w:rsidP="00D6535E">
      <w:pPr>
        <w:pStyle w:val="ListParagraph"/>
        <w:numPr>
          <w:ilvl w:val="0"/>
          <w:numId w:val="38"/>
        </w:numPr>
        <w:ind w:left="1080"/>
        <w:jc w:val="both"/>
        <w:rPr>
          <w:rFonts w:ascii="Arial" w:hAnsi="Arial" w:cs="Arial"/>
        </w:rPr>
      </w:pPr>
      <w:r w:rsidRPr="0012482B">
        <w:rPr>
          <w:rFonts w:ascii="Arial" w:hAnsi="Arial" w:cs="Arial"/>
        </w:rPr>
        <w:t>This is the statutory limit determined under section 3 (1) of the Local Government Act 2003. The Government retains an option to control either the total of all councils’ plans, or those of a specific council, although this power has not yet been exercised.</w:t>
      </w:r>
    </w:p>
    <w:p w:rsidR="00D6535E" w:rsidRPr="0012482B" w:rsidRDefault="00D6535E" w:rsidP="00D6535E">
      <w:pPr>
        <w:pStyle w:val="ListParagraph"/>
        <w:ind w:left="1080"/>
        <w:rPr>
          <w:rFonts w:ascii="Arial" w:hAnsi="Arial" w:cs="Arial"/>
        </w:rPr>
      </w:pPr>
    </w:p>
    <w:p w:rsidR="00D6535E" w:rsidRPr="0012482B" w:rsidRDefault="00D6535E" w:rsidP="00D6535E">
      <w:pPr>
        <w:pStyle w:val="ListParagraph"/>
        <w:numPr>
          <w:ilvl w:val="0"/>
          <w:numId w:val="38"/>
        </w:numPr>
        <w:ind w:left="1080"/>
        <w:rPr>
          <w:rFonts w:ascii="Arial" w:hAnsi="Arial" w:cs="Arial"/>
        </w:rPr>
      </w:pPr>
      <w:r w:rsidRPr="0012482B">
        <w:rPr>
          <w:rFonts w:ascii="Arial" w:hAnsi="Arial" w:cs="Arial"/>
        </w:rPr>
        <w:t>The Council is asked to approve the following authorised limit:</w:t>
      </w:r>
    </w:p>
    <w:p w:rsidR="00D6535E" w:rsidRPr="0012482B" w:rsidRDefault="00D6535E" w:rsidP="00D6535E">
      <w:pPr>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559"/>
        <w:gridCol w:w="1559"/>
        <w:gridCol w:w="1560"/>
        <w:gridCol w:w="1275"/>
      </w:tblGrid>
      <w:tr w:rsidR="0062597D" w:rsidRPr="007E03CF" w:rsidTr="00CD4006">
        <w:tc>
          <w:tcPr>
            <w:tcW w:w="2410" w:type="dxa"/>
            <w:shd w:val="clear" w:color="auto" w:fill="B3B3B3"/>
            <w:vAlign w:val="center"/>
          </w:tcPr>
          <w:p w:rsidR="0062597D" w:rsidRPr="007E03CF" w:rsidRDefault="0062597D" w:rsidP="00CD4006">
            <w:pPr>
              <w:jc w:val="center"/>
              <w:rPr>
                <w:rFonts w:ascii="Arial" w:hAnsi="Arial" w:cs="Arial"/>
                <w:spacing w:val="-5"/>
              </w:rPr>
            </w:pPr>
            <w:r w:rsidRPr="007E03CF">
              <w:rPr>
                <w:rFonts w:ascii="Arial" w:hAnsi="Arial" w:cs="Arial"/>
                <w:b/>
                <w:bCs/>
              </w:rPr>
              <w:t>Authorised limit</w:t>
            </w:r>
          </w:p>
        </w:tc>
        <w:tc>
          <w:tcPr>
            <w:tcW w:w="1559" w:type="dxa"/>
            <w:shd w:val="clear" w:color="auto" w:fill="B3B3B3"/>
            <w:vAlign w:val="center"/>
          </w:tcPr>
          <w:p w:rsidR="0062597D" w:rsidRPr="001F4D26" w:rsidRDefault="0062597D" w:rsidP="00CD4006">
            <w:pPr>
              <w:pStyle w:val="BodyText"/>
              <w:jc w:val="center"/>
              <w:rPr>
                <w:rFonts w:ascii="Arial" w:hAnsi="Arial" w:cs="Arial"/>
                <w:b/>
                <w:bCs/>
                <w:lang w:val="en-US"/>
              </w:rPr>
            </w:pPr>
            <w:r w:rsidRPr="001F4D26">
              <w:rPr>
                <w:rFonts w:ascii="Arial" w:hAnsi="Arial" w:cs="Arial"/>
                <w:b/>
                <w:bCs/>
                <w:lang w:val="en-US"/>
              </w:rPr>
              <w:t>2015</w:t>
            </w:r>
            <w:r>
              <w:rPr>
                <w:rFonts w:ascii="Arial" w:hAnsi="Arial" w:cs="Arial"/>
                <w:b/>
                <w:bCs/>
                <w:lang w:val="en-US"/>
              </w:rPr>
              <w:t>/16</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c>
          <w:tcPr>
            <w:tcW w:w="1559" w:type="dxa"/>
            <w:shd w:val="clear" w:color="auto" w:fill="B3B3B3"/>
            <w:vAlign w:val="center"/>
          </w:tcPr>
          <w:p w:rsidR="0062597D" w:rsidRPr="001F4D26" w:rsidRDefault="0062597D" w:rsidP="00CD4006">
            <w:pPr>
              <w:pStyle w:val="BodyText"/>
              <w:jc w:val="center"/>
              <w:rPr>
                <w:rFonts w:ascii="Arial" w:hAnsi="Arial" w:cs="Arial"/>
                <w:b/>
                <w:bCs/>
                <w:lang w:val="en-US"/>
              </w:rPr>
            </w:pPr>
            <w:r w:rsidRPr="001F4D26">
              <w:rPr>
                <w:rFonts w:ascii="Arial" w:hAnsi="Arial" w:cs="Arial"/>
                <w:b/>
                <w:bCs/>
                <w:lang w:val="en-US"/>
              </w:rPr>
              <w:t>2016</w:t>
            </w:r>
            <w:r>
              <w:rPr>
                <w:rFonts w:ascii="Arial" w:hAnsi="Arial" w:cs="Arial"/>
                <w:b/>
                <w:bCs/>
                <w:lang w:val="en-US"/>
              </w:rPr>
              <w:t>/17</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c>
          <w:tcPr>
            <w:tcW w:w="1560" w:type="dxa"/>
            <w:shd w:val="clear" w:color="auto" w:fill="B3B3B3"/>
            <w:vAlign w:val="center"/>
          </w:tcPr>
          <w:p w:rsidR="0062597D" w:rsidRPr="001F4D26" w:rsidRDefault="0062597D" w:rsidP="00CD4006">
            <w:pPr>
              <w:pStyle w:val="BodyText"/>
              <w:jc w:val="center"/>
              <w:rPr>
                <w:rFonts w:ascii="Arial" w:hAnsi="Arial" w:cs="Arial"/>
                <w:b/>
                <w:bCs/>
                <w:lang w:val="en-US"/>
              </w:rPr>
            </w:pPr>
            <w:r w:rsidRPr="001F4D26">
              <w:rPr>
                <w:rFonts w:ascii="Arial" w:hAnsi="Arial" w:cs="Arial"/>
                <w:b/>
                <w:bCs/>
                <w:lang w:val="en-US"/>
              </w:rPr>
              <w:t>2017</w:t>
            </w:r>
            <w:r>
              <w:rPr>
                <w:rFonts w:ascii="Arial" w:hAnsi="Arial" w:cs="Arial"/>
                <w:b/>
                <w:bCs/>
                <w:lang w:val="en-US"/>
              </w:rPr>
              <w:t>/18</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c>
          <w:tcPr>
            <w:tcW w:w="1275" w:type="dxa"/>
            <w:shd w:val="clear" w:color="auto" w:fill="B3B3B3"/>
            <w:vAlign w:val="center"/>
          </w:tcPr>
          <w:p w:rsidR="0062597D" w:rsidRPr="001F4D26" w:rsidRDefault="0062597D" w:rsidP="00CD4006">
            <w:pPr>
              <w:pStyle w:val="BodyText"/>
              <w:jc w:val="center"/>
              <w:rPr>
                <w:rFonts w:ascii="Arial" w:hAnsi="Arial" w:cs="Arial"/>
                <w:b/>
                <w:bCs/>
                <w:lang w:val="en-US"/>
              </w:rPr>
            </w:pPr>
            <w:r>
              <w:rPr>
                <w:rFonts w:ascii="Arial" w:hAnsi="Arial" w:cs="Arial"/>
                <w:b/>
                <w:bCs/>
                <w:lang w:val="en-US"/>
              </w:rPr>
              <w:t>2018/19</w:t>
            </w:r>
          </w:p>
          <w:p w:rsidR="0062597D" w:rsidRDefault="0062597D" w:rsidP="00CD4006">
            <w:pPr>
              <w:pStyle w:val="BodyText"/>
              <w:jc w:val="center"/>
              <w:rPr>
                <w:rFonts w:ascii="Arial" w:hAnsi="Arial" w:cs="Arial"/>
                <w:b/>
                <w:bCs/>
                <w:lang w:val="en-US"/>
              </w:rPr>
            </w:pPr>
            <w:r w:rsidRPr="001F4D26">
              <w:rPr>
                <w:rFonts w:ascii="Arial" w:hAnsi="Arial" w:cs="Arial"/>
                <w:b/>
                <w:bCs/>
                <w:lang w:val="en-US"/>
              </w:rPr>
              <w:t>Estimate</w:t>
            </w:r>
          </w:p>
          <w:p w:rsidR="0062597D" w:rsidRPr="001F4D26" w:rsidRDefault="0062597D" w:rsidP="00CD4006">
            <w:pPr>
              <w:pStyle w:val="BodyText"/>
              <w:jc w:val="center"/>
              <w:rPr>
                <w:rFonts w:ascii="Arial" w:hAnsi="Arial" w:cs="Arial"/>
                <w:b/>
                <w:bCs/>
                <w:lang w:val="en-US"/>
              </w:rPr>
            </w:pPr>
            <w:r>
              <w:rPr>
                <w:rFonts w:ascii="Arial" w:hAnsi="Arial" w:cs="Arial"/>
                <w:b/>
                <w:bCs/>
                <w:lang w:val="en-US"/>
              </w:rPr>
              <w:t>£’000</w:t>
            </w:r>
          </w:p>
        </w:tc>
      </w:tr>
      <w:tr w:rsidR="00D6535E" w:rsidRPr="007E03CF" w:rsidTr="00CD4006">
        <w:tc>
          <w:tcPr>
            <w:tcW w:w="2410" w:type="dxa"/>
            <w:vAlign w:val="center"/>
          </w:tcPr>
          <w:p w:rsidR="00D6535E" w:rsidRPr="007E03CF" w:rsidRDefault="00D6535E" w:rsidP="00CD4006">
            <w:pPr>
              <w:rPr>
                <w:rFonts w:ascii="Arial" w:hAnsi="Arial" w:cs="Arial"/>
                <w:spacing w:val="-5"/>
              </w:rPr>
            </w:pPr>
            <w:r w:rsidRPr="007E03CF">
              <w:rPr>
                <w:rFonts w:ascii="Arial" w:hAnsi="Arial" w:cs="Arial"/>
              </w:rPr>
              <w:t>Debt</w:t>
            </w:r>
          </w:p>
        </w:tc>
        <w:tc>
          <w:tcPr>
            <w:tcW w:w="1559"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17,000</w:t>
            </w:r>
          </w:p>
        </w:tc>
        <w:tc>
          <w:tcPr>
            <w:tcW w:w="1559"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17,000</w:t>
            </w:r>
          </w:p>
        </w:tc>
        <w:tc>
          <w:tcPr>
            <w:tcW w:w="1560"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17,000</w:t>
            </w:r>
          </w:p>
        </w:tc>
        <w:tc>
          <w:tcPr>
            <w:tcW w:w="1275" w:type="dxa"/>
            <w:vAlign w:val="center"/>
          </w:tcPr>
          <w:p w:rsidR="00D6535E" w:rsidRPr="0049477C" w:rsidRDefault="00D6535E" w:rsidP="00CD4006">
            <w:pPr>
              <w:jc w:val="right"/>
              <w:rPr>
                <w:rFonts w:ascii="Arial" w:hAnsi="Arial" w:cs="Arial"/>
                <w:color w:val="000000" w:themeColor="text1"/>
                <w:spacing w:val="-5"/>
              </w:rPr>
            </w:pPr>
            <w:r w:rsidRPr="0049477C">
              <w:rPr>
                <w:rFonts w:ascii="Arial" w:hAnsi="Arial" w:cs="Arial"/>
                <w:color w:val="000000" w:themeColor="text1"/>
                <w:spacing w:val="-5"/>
              </w:rPr>
              <w:t>17,000</w:t>
            </w:r>
          </w:p>
        </w:tc>
      </w:tr>
      <w:tr w:rsidR="00D6535E" w:rsidRPr="007E03CF" w:rsidTr="00CD4006">
        <w:tc>
          <w:tcPr>
            <w:tcW w:w="2410" w:type="dxa"/>
            <w:vAlign w:val="center"/>
          </w:tcPr>
          <w:p w:rsidR="00D6535E" w:rsidRPr="007E03CF" w:rsidRDefault="00D6535E" w:rsidP="00CD4006">
            <w:pPr>
              <w:rPr>
                <w:rFonts w:ascii="Arial" w:hAnsi="Arial" w:cs="Arial"/>
                <w:spacing w:val="-5"/>
              </w:rPr>
            </w:pPr>
            <w:r w:rsidRPr="007E03CF">
              <w:rPr>
                <w:rFonts w:ascii="Arial" w:hAnsi="Arial" w:cs="Arial"/>
              </w:rPr>
              <w:t>Other long term liabilities</w:t>
            </w:r>
          </w:p>
        </w:tc>
        <w:tc>
          <w:tcPr>
            <w:tcW w:w="1559"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c>
          <w:tcPr>
            <w:tcW w:w="1559"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c>
          <w:tcPr>
            <w:tcW w:w="1560"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c>
          <w:tcPr>
            <w:tcW w:w="1275" w:type="dxa"/>
            <w:vAlign w:val="center"/>
          </w:tcPr>
          <w:p w:rsidR="00D6535E" w:rsidRPr="0049477C" w:rsidRDefault="00D6535E" w:rsidP="00CD4006">
            <w:pPr>
              <w:jc w:val="right"/>
              <w:rPr>
                <w:rFonts w:ascii="Arial" w:hAnsi="Arial" w:cs="Arial"/>
                <w:color w:val="000000" w:themeColor="text1"/>
                <w:spacing w:val="-5"/>
              </w:rPr>
            </w:pPr>
            <w:r>
              <w:rPr>
                <w:rFonts w:ascii="Arial" w:hAnsi="Arial" w:cs="Arial"/>
                <w:color w:val="000000" w:themeColor="text1"/>
                <w:spacing w:val="-5"/>
              </w:rPr>
              <w:t>0</w:t>
            </w:r>
          </w:p>
        </w:tc>
      </w:tr>
      <w:tr w:rsidR="00D6535E" w:rsidRPr="007E03CF" w:rsidTr="00CD4006">
        <w:tc>
          <w:tcPr>
            <w:tcW w:w="2410" w:type="dxa"/>
            <w:vAlign w:val="center"/>
          </w:tcPr>
          <w:p w:rsidR="00D6535E" w:rsidRPr="007E03CF" w:rsidRDefault="00D6535E" w:rsidP="00CD4006">
            <w:pPr>
              <w:rPr>
                <w:rFonts w:ascii="Arial" w:hAnsi="Arial" w:cs="Arial"/>
                <w:spacing w:val="-5"/>
              </w:rPr>
            </w:pPr>
            <w:r w:rsidRPr="007E03CF">
              <w:rPr>
                <w:rFonts w:ascii="Arial" w:hAnsi="Arial" w:cs="Arial"/>
              </w:rPr>
              <w:t>Total</w:t>
            </w:r>
          </w:p>
        </w:tc>
        <w:tc>
          <w:tcPr>
            <w:tcW w:w="1559" w:type="dxa"/>
            <w:vAlign w:val="center"/>
          </w:tcPr>
          <w:p w:rsidR="00D6535E" w:rsidRPr="009468B9" w:rsidRDefault="00D6535E" w:rsidP="00CD4006">
            <w:pPr>
              <w:jc w:val="right"/>
              <w:rPr>
                <w:rFonts w:ascii="Arial" w:hAnsi="Arial" w:cs="Arial"/>
                <w:b/>
                <w:color w:val="000000" w:themeColor="text1"/>
                <w:spacing w:val="-5"/>
              </w:rPr>
            </w:pPr>
            <w:r w:rsidRPr="009468B9">
              <w:rPr>
                <w:rFonts w:ascii="Arial" w:hAnsi="Arial" w:cs="Arial"/>
                <w:b/>
                <w:color w:val="000000" w:themeColor="text1"/>
                <w:spacing w:val="-5"/>
              </w:rPr>
              <w:t>17,000</w:t>
            </w:r>
          </w:p>
        </w:tc>
        <w:tc>
          <w:tcPr>
            <w:tcW w:w="1559" w:type="dxa"/>
            <w:vAlign w:val="center"/>
          </w:tcPr>
          <w:p w:rsidR="00D6535E" w:rsidRPr="009468B9" w:rsidRDefault="00D6535E" w:rsidP="00CD4006">
            <w:pPr>
              <w:tabs>
                <w:tab w:val="right" w:pos="702"/>
              </w:tabs>
              <w:jc w:val="right"/>
              <w:rPr>
                <w:rFonts w:ascii="Arial" w:hAnsi="Arial" w:cs="Arial"/>
                <w:b/>
                <w:color w:val="000000" w:themeColor="text1"/>
                <w:spacing w:val="-5"/>
              </w:rPr>
            </w:pPr>
            <w:r w:rsidRPr="009468B9">
              <w:rPr>
                <w:rFonts w:ascii="Arial" w:hAnsi="Arial" w:cs="Arial"/>
                <w:b/>
                <w:color w:val="000000" w:themeColor="text1"/>
                <w:spacing w:val="-5"/>
              </w:rPr>
              <w:t>17,000</w:t>
            </w:r>
          </w:p>
        </w:tc>
        <w:tc>
          <w:tcPr>
            <w:tcW w:w="1560" w:type="dxa"/>
            <w:vAlign w:val="center"/>
          </w:tcPr>
          <w:p w:rsidR="00D6535E" w:rsidRPr="009468B9" w:rsidRDefault="00D6535E" w:rsidP="00CD4006">
            <w:pPr>
              <w:jc w:val="right"/>
              <w:rPr>
                <w:rFonts w:ascii="Arial" w:hAnsi="Arial" w:cs="Arial"/>
                <w:b/>
                <w:color w:val="000000" w:themeColor="text1"/>
              </w:rPr>
            </w:pPr>
            <w:r w:rsidRPr="009468B9">
              <w:rPr>
                <w:rFonts w:ascii="Arial" w:hAnsi="Arial" w:cs="Arial"/>
                <w:b/>
                <w:color w:val="000000" w:themeColor="text1"/>
              </w:rPr>
              <w:t>17,000</w:t>
            </w:r>
          </w:p>
        </w:tc>
        <w:tc>
          <w:tcPr>
            <w:tcW w:w="1275" w:type="dxa"/>
            <w:vAlign w:val="center"/>
          </w:tcPr>
          <w:p w:rsidR="00D6535E" w:rsidRPr="009468B9" w:rsidRDefault="00D6535E" w:rsidP="00CD4006">
            <w:pPr>
              <w:jc w:val="right"/>
              <w:rPr>
                <w:rFonts w:ascii="Arial" w:hAnsi="Arial" w:cs="Arial"/>
                <w:b/>
                <w:color w:val="000000" w:themeColor="text1"/>
              </w:rPr>
            </w:pPr>
            <w:r w:rsidRPr="009468B9">
              <w:rPr>
                <w:rFonts w:ascii="Arial" w:hAnsi="Arial" w:cs="Arial"/>
                <w:b/>
                <w:color w:val="000000" w:themeColor="text1"/>
              </w:rPr>
              <w:t>17,000</w:t>
            </w:r>
          </w:p>
        </w:tc>
      </w:tr>
    </w:tbl>
    <w:p w:rsidR="00D6535E" w:rsidRDefault="00D6535E" w:rsidP="00D6535E">
      <w:pPr>
        <w:autoSpaceDE w:val="0"/>
        <w:autoSpaceDN w:val="0"/>
        <w:adjustRightInd w:val="0"/>
        <w:jc w:val="both"/>
        <w:rPr>
          <w:rFonts w:ascii="Arial" w:hAnsi="Arial" w:cs="Arial"/>
          <w:iCs/>
          <w:color w:val="4F81BD" w:themeColor="accent1"/>
          <w:spacing w:val="-5"/>
        </w:rPr>
      </w:pPr>
    </w:p>
    <w:p w:rsidR="00D6535E" w:rsidRDefault="00D6535E" w:rsidP="00D6535E">
      <w:pPr>
        <w:rPr>
          <w:rFonts w:ascii="Arial" w:hAnsi="Arial" w:cs="Arial"/>
          <w:iCs/>
          <w:color w:val="4F81BD" w:themeColor="accent1"/>
          <w:spacing w:val="-5"/>
        </w:rPr>
      </w:pPr>
      <w:r>
        <w:rPr>
          <w:rFonts w:ascii="Arial" w:hAnsi="Arial" w:cs="Arial"/>
          <w:iCs/>
          <w:color w:val="4F81BD" w:themeColor="accent1"/>
          <w:spacing w:val="-5"/>
        </w:rPr>
        <w:br w:type="page"/>
      </w:r>
    </w:p>
    <w:p w:rsidR="00D6535E" w:rsidRPr="007E03CF" w:rsidRDefault="00D6535E" w:rsidP="00D6535E">
      <w:pPr>
        <w:pStyle w:val="BodyText"/>
        <w:jc w:val="both"/>
        <w:rPr>
          <w:rFonts w:ascii="Arial" w:hAnsi="Arial" w:cs="Arial"/>
          <w:b/>
          <w:bCs/>
          <w:noProof/>
        </w:rPr>
      </w:pPr>
      <w:r w:rsidRPr="007E03CF">
        <w:rPr>
          <w:rFonts w:ascii="Arial" w:hAnsi="Arial" w:cs="Arial"/>
          <w:b/>
          <w:bCs/>
          <w:noProof/>
        </w:rPr>
        <w:lastRenderedPageBreak/>
        <w:t>Prospects for Interest Rates</w:t>
      </w:r>
    </w:p>
    <w:p w:rsidR="00D6535E" w:rsidRPr="00F3704E" w:rsidRDefault="00D6535E" w:rsidP="00D6535E">
      <w:pPr>
        <w:pStyle w:val="BodyText"/>
        <w:ind w:left="720"/>
        <w:jc w:val="both"/>
        <w:rPr>
          <w:rFonts w:ascii="Arial" w:hAnsi="Arial" w:cs="Arial"/>
          <w:noProof/>
          <w:color w:val="4F81BD" w:themeColor="accent1"/>
        </w:rPr>
      </w:pPr>
    </w:p>
    <w:p w:rsidR="00D6535E" w:rsidRPr="007E03CF" w:rsidRDefault="00D6535E" w:rsidP="00D6535E">
      <w:pPr>
        <w:pStyle w:val="BodyText"/>
        <w:ind w:left="720" w:hanging="720"/>
        <w:jc w:val="both"/>
        <w:rPr>
          <w:rFonts w:ascii="Arial" w:hAnsi="Arial" w:cs="Arial"/>
          <w:noProof/>
        </w:rPr>
      </w:pPr>
      <w:r w:rsidRPr="007E03CF">
        <w:rPr>
          <w:rFonts w:ascii="Arial" w:hAnsi="Arial" w:cs="Arial"/>
          <w:noProof/>
        </w:rPr>
        <w:t>1</w:t>
      </w:r>
      <w:r>
        <w:rPr>
          <w:rFonts w:ascii="Arial" w:hAnsi="Arial" w:cs="Arial"/>
          <w:noProof/>
        </w:rPr>
        <w:t>6</w:t>
      </w:r>
      <w:r w:rsidRPr="007E03CF">
        <w:rPr>
          <w:rFonts w:ascii="Arial" w:hAnsi="Arial" w:cs="Arial"/>
          <w:noProof/>
        </w:rPr>
        <w:t>.</w:t>
      </w:r>
      <w:r w:rsidRPr="007E03CF">
        <w:rPr>
          <w:rFonts w:ascii="Arial" w:hAnsi="Arial" w:cs="Arial"/>
          <w:noProof/>
        </w:rPr>
        <w:tab/>
        <w:t>The Council has appointed Capita Asset Services as its treasury advisor and part of their service is to assist the Council to formulate a view on interest rates. The following table gives their central view.</w:t>
      </w:r>
    </w:p>
    <w:p w:rsidR="00D6535E" w:rsidRPr="007E03CF" w:rsidRDefault="00D6535E" w:rsidP="00D6535E">
      <w:pPr>
        <w:pStyle w:val="BodyText"/>
        <w:ind w:left="720"/>
        <w:jc w:val="both"/>
        <w:rPr>
          <w:rFonts w:ascii="Arial" w:hAnsi="Arial" w:cs="Arial"/>
          <w:noProo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843"/>
        <w:gridCol w:w="1701"/>
        <w:gridCol w:w="1842"/>
      </w:tblGrid>
      <w:tr w:rsidR="00D6535E" w:rsidRPr="00670B8D" w:rsidTr="00CD4006">
        <w:tc>
          <w:tcPr>
            <w:tcW w:w="1701" w:type="dxa"/>
            <w:shd w:val="clear" w:color="auto" w:fill="B3B3B3"/>
            <w:vAlign w:val="center"/>
          </w:tcPr>
          <w:p w:rsidR="00D6535E" w:rsidRPr="00670B8D" w:rsidRDefault="00D6535E" w:rsidP="00CD4006">
            <w:pPr>
              <w:jc w:val="center"/>
              <w:rPr>
                <w:rFonts w:ascii="Arial" w:hAnsi="Arial" w:cs="Arial"/>
                <w:b/>
                <w:spacing w:val="-5"/>
              </w:rPr>
            </w:pPr>
            <w:r w:rsidRPr="00670B8D">
              <w:rPr>
                <w:rFonts w:ascii="Arial" w:hAnsi="Arial" w:cs="Arial"/>
                <w:b/>
                <w:spacing w:val="-5"/>
              </w:rPr>
              <w:t>Annual Average %</w:t>
            </w:r>
          </w:p>
        </w:tc>
        <w:tc>
          <w:tcPr>
            <w:tcW w:w="1276" w:type="dxa"/>
            <w:shd w:val="clear" w:color="auto" w:fill="B3B3B3"/>
            <w:vAlign w:val="center"/>
          </w:tcPr>
          <w:p w:rsidR="00D6535E" w:rsidRPr="00670B8D" w:rsidRDefault="00D6535E" w:rsidP="00CD4006">
            <w:pPr>
              <w:jc w:val="center"/>
              <w:rPr>
                <w:rFonts w:ascii="Arial" w:hAnsi="Arial" w:cs="Arial"/>
                <w:b/>
                <w:spacing w:val="-5"/>
              </w:rPr>
            </w:pPr>
            <w:r w:rsidRPr="00670B8D">
              <w:rPr>
                <w:rFonts w:ascii="Arial" w:hAnsi="Arial" w:cs="Arial"/>
                <w:b/>
                <w:spacing w:val="-5"/>
              </w:rPr>
              <w:t>Bank Rate</w:t>
            </w:r>
          </w:p>
          <w:p w:rsidR="00D6535E" w:rsidRPr="00670B8D" w:rsidRDefault="00D6535E" w:rsidP="00CD4006">
            <w:pPr>
              <w:jc w:val="center"/>
              <w:rPr>
                <w:rFonts w:ascii="Arial" w:hAnsi="Arial" w:cs="Arial"/>
                <w:b/>
                <w:spacing w:val="-5"/>
              </w:rPr>
            </w:pPr>
            <w:r w:rsidRPr="00670B8D">
              <w:rPr>
                <w:rFonts w:ascii="Arial" w:hAnsi="Arial" w:cs="Arial"/>
                <w:b/>
                <w:spacing w:val="-5"/>
              </w:rPr>
              <w:t>%</w:t>
            </w:r>
          </w:p>
        </w:tc>
        <w:tc>
          <w:tcPr>
            <w:tcW w:w="5386" w:type="dxa"/>
            <w:gridSpan w:val="3"/>
            <w:shd w:val="clear" w:color="auto" w:fill="B3B3B3"/>
            <w:vAlign w:val="center"/>
          </w:tcPr>
          <w:p w:rsidR="00D6535E" w:rsidRPr="00670B8D" w:rsidRDefault="00D6535E" w:rsidP="00CD4006">
            <w:pPr>
              <w:jc w:val="center"/>
              <w:rPr>
                <w:rFonts w:ascii="Arial" w:hAnsi="Arial" w:cs="Arial"/>
                <w:b/>
                <w:spacing w:val="-5"/>
              </w:rPr>
            </w:pPr>
            <w:r w:rsidRPr="00670B8D">
              <w:rPr>
                <w:rFonts w:ascii="Arial" w:hAnsi="Arial" w:cs="Arial"/>
                <w:b/>
                <w:spacing w:val="-5"/>
              </w:rPr>
              <w:t>PWLB Borrowing Rates %</w:t>
            </w:r>
          </w:p>
          <w:p w:rsidR="00D6535E" w:rsidRPr="00670B8D" w:rsidRDefault="00D6535E" w:rsidP="00CD4006">
            <w:pPr>
              <w:jc w:val="center"/>
              <w:rPr>
                <w:rFonts w:ascii="Arial" w:hAnsi="Arial" w:cs="Arial"/>
                <w:b/>
                <w:spacing w:val="-5"/>
              </w:rPr>
            </w:pPr>
            <w:r w:rsidRPr="00670B8D">
              <w:rPr>
                <w:rFonts w:ascii="Arial" w:hAnsi="Arial" w:cs="Arial"/>
                <w:b/>
                <w:spacing w:val="-5"/>
              </w:rPr>
              <w:t>(including certainty rate adjustment)</w:t>
            </w:r>
          </w:p>
        </w:tc>
      </w:tr>
      <w:tr w:rsidR="00D6535E" w:rsidRPr="00670B8D" w:rsidTr="00CD4006">
        <w:tc>
          <w:tcPr>
            <w:tcW w:w="1701" w:type="dxa"/>
            <w:shd w:val="clear" w:color="auto" w:fill="B3B3B3"/>
          </w:tcPr>
          <w:p w:rsidR="00D6535E" w:rsidRPr="00670B8D" w:rsidRDefault="00D6535E" w:rsidP="00CD4006">
            <w:pPr>
              <w:rPr>
                <w:rFonts w:ascii="Arial" w:hAnsi="Arial" w:cs="Arial"/>
                <w:b/>
                <w:spacing w:val="-5"/>
              </w:rPr>
            </w:pPr>
          </w:p>
        </w:tc>
        <w:tc>
          <w:tcPr>
            <w:tcW w:w="1276" w:type="dxa"/>
            <w:shd w:val="clear" w:color="auto" w:fill="B3B3B3"/>
          </w:tcPr>
          <w:p w:rsidR="00D6535E" w:rsidRPr="00670B8D" w:rsidRDefault="00D6535E" w:rsidP="00CD4006">
            <w:pPr>
              <w:jc w:val="center"/>
              <w:rPr>
                <w:rFonts w:ascii="Arial" w:hAnsi="Arial" w:cs="Arial"/>
                <w:b/>
                <w:spacing w:val="-5"/>
              </w:rPr>
            </w:pPr>
          </w:p>
        </w:tc>
        <w:tc>
          <w:tcPr>
            <w:tcW w:w="1843" w:type="dxa"/>
            <w:shd w:val="clear" w:color="auto" w:fill="B3B3B3"/>
          </w:tcPr>
          <w:p w:rsidR="00D6535E" w:rsidRPr="00670B8D" w:rsidRDefault="00D6535E" w:rsidP="00CD4006">
            <w:pPr>
              <w:jc w:val="center"/>
              <w:rPr>
                <w:rFonts w:ascii="Arial" w:hAnsi="Arial" w:cs="Arial"/>
                <w:b/>
                <w:spacing w:val="-5"/>
              </w:rPr>
            </w:pPr>
            <w:r w:rsidRPr="00670B8D">
              <w:rPr>
                <w:rFonts w:ascii="Arial" w:hAnsi="Arial" w:cs="Arial"/>
                <w:b/>
                <w:spacing w:val="-5"/>
              </w:rPr>
              <w:t>5 year</w:t>
            </w:r>
          </w:p>
        </w:tc>
        <w:tc>
          <w:tcPr>
            <w:tcW w:w="1701" w:type="dxa"/>
            <w:shd w:val="clear" w:color="auto" w:fill="B3B3B3"/>
          </w:tcPr>
          <w:p w:rsidR="00D6535E" w:rsidRPr="00670B8D" w:rsidRDefault="00D6535E" w:rsidP="00CD4006">
            <w:pPr>
              <w:jc w:val="center"/>
              <w:rPr>
                <w:rFonts w:ascii="Arial" w:hAnsi="Arial" w:cs="Arial"/>
                <w:b/>
                <w:spacing w:val="-5"/>
              </w:rPr>
            </w:pPr>
            <w:r w:rsidRPr="00670B8D">
              <w:rPr>
                <w:rFonts w:ascii="Arial" w:hAnsi="Arial" w:cs="Arial"/>
                <w:b/>
                <w:spacing w:val="-5"/>
              </w:rPr>
              <w:t>25 year</w:t>
            </w:r>
          </w:p>
        </w:tc>
        <w:tc>
          <w:tcPr>
            <w:tcW w:w="1842" w:type="dxa"/>
            <w:shd w:val="clear" w:color="auto" w:fill="B3B3B3"/>
          </w:tcPr>
          <w:p w:rsidR="00D6535E" w:rsidRPr="00670B8D" w:rsidRDefault="00D6535E" w:rsidP="00CD4006">
            <w:pPr>
              <w:jc w:val="center"/>
              <w:rPr>
                <w:rFonts w:ascii="Arial" w:hAnsi="Arial" w:cs="Arial"/>
                <w:b/>
                <w:spacing w:val="-5"/>
              </w:rPr>
            </w:pPr>
            <w:r w:rsidRPr="00670B8D">
              <w:rPr>
                <w:rFonts w:ascii="Arial" w:hAnsi="Arial" w:cs="Arial"/>
                <w:b/>
                <w:spacing w:val="-5"/>
              </w:rPr>
              <w:t>50 year</w:t>
            </w:r>
          </w:p>
        </w:tc>
      </w:tr>
      <w:tr w:rsidR="00D6535E" w:rsidRPr="00670B8D" w:rsidTr="00CD4006">
        <w:tc>
          <w:tcPr>
            <w:tcW w:w="1701" w:type="dxa"/>
          </w:tcPr>
          <w:p w:rsidR="00D6535E" w:rsidRPr="00670B8D" w:rsidRDefault="00D630D1" w:rsidP="00CD4006">
            <w:pPr>
              <w:rPr>
                <w:rFonts w:ascii="Arial" w:hAnsi="Arial" w:cs="Arial"/>
                <w:color w:val="0D0D0D"/>
              </w:rPr>
            </w:pPr>
            <w:r>
              <w:rPr>
                <w:rFonts w:ascii="Arial" w:hAnsi="Arial" w:cs="Arial"/>
                <w:color w:val="0D0D0D"/>
              </w:rPr>
              <w:t>Now</w:t>
            </w:r>
          </w:p>
        </w:tc>
        <w:tc>
          <w:tcPr>
            <w:tcW w:w="1276" w:type="dxa"/>
          </w:tcPr>
          <w:p w:rsidR="00D6535E" w:rsidRPr="00670B8D" w:rsidRDefault="00D630D1" w:rsidP="00D8108B">
            <w:pPr>
              <w:jc w:val="center"/>
              <w:rPr>
                <w:rFonts w:ascii="Arial" w:hAnsi="Arial" w:cs="Arial"/>
                <w:color w:val="0D0D0D"/>
              </w:rPr>
            </w:pPr>
            <w:r>
              <w:rPr>
                <w:rFonts w:ascii="Arial" w:hAnsi="Arial" w:cs="Arial"/>
                <w:color w:val="0D0D0D"/>
              </w:rPr>
              <w:t>0.50%</w:t>
            </w:r>
          </w:p>
        </w:tc>
        <w:tc>
          <w:tcPr>
            <w:tcW w:w="1843" w:type="dxa"/>
          </w:tcPr>
          <w:p w:rsidR="00D6535E" w:rsidRPr="00670B8D" w:rsidRDefault="00D8108B" w:rsidP="00CD4006">
            <w:pPr>
              <w:jc w:val="center"/>
              <w:rPr>
                <w:rFonts w:ascii="Arial" w:hAnsi="Arial" w:cs="Arial"/>
                <w:color w:val="0D0D0D"/>
              </w:rPr>
            </w:pPr>
            <w:r>
              <w:rPr>
                <w:rFonts w:ascii="Arial" w:hAnsi="Arial" w:cs="Arial"/>
                <w:color w:val="0D0D0D"/>
              </w:rPr>
              <w:t>1.85%</w:t>
            </w:r>
          </w:p>
        </w:tc>
        <w:tc>
          <w:tcPr>
            <w:tcW w:w="1701" w:type="dxa"/>
          </w:tcPr>
          <w:p w:rsidR="00D6535E" w:rsidRPr="00670B8D" w:rsidRDefault="00D8108B" w:rsidP="00CD4006">
            <w:pPr>
              <w:jc w:val="center"/>
              <w:rPr>
                <w:rFonts w:ascii="Arial" w:hAnsi="Arial" w:cs="Arial"/>
                <w:color w:val="0D0D0D"/>
              </w:rPr>
            </w:pPr>
            <w:r>
              <w:rPr>
                <w:rFonts w:ascii="Arial" w:hAnsi="Arial" w:cs="Arial"/>
                <w:color w:val="0D0D0D"/>
              </w:rPr>
              <w:t>3.29%</w:t>
            </w:r>
          </w:p>
        </w:tc>
        <w:tc>
          <w:tcPr>
            <w:tcW w:w="1842" w:type="dxa"/>
          </w:tcPr>
          <w:p w:rsidR="00D6535E" w:rsidRPr="00670B8D" w:rsidRDefault="00D8108B" w:rsidP="00CD4006">
            <w:pPr>
              <w:jc w:val="center"/>
              <w:rPr>
                <w:rFonts w:ascii="Arial" w:hAnsi="Arial" w:cs="Arial"/>
                <w:color w:val="0D0D0D"/>
              </w:rPr>
            </w:pPr>
            <w:r>
              <w:rPr>
                <w:rFonts w:ascii="Arial" w:hAnsi="Arial" w:cs="Arial"/>
                <w:color w:val="0D0D0D"/>
              </w:rPr>
              <w:t>3.11%</w:t>
            </w:r>
          </w:p>
        </w:tc>
      </w:tr>
      <w:tr w:rsidR="00D8108B" w:rsidRPr="00670B8D" w:rsidTr="00CD4006">
        <w:tc>
          <w:tcPr>
            <w:tcW w:w="1701" w:type="dxa"/>
          </w:tcPr>
          <w:p w:rsidR="00D8108B" w:rsidRPr="00670B8D" w:rsidRDefault="00D8108B" w:rsidP="00D630D1">
            <w:pPr>
              <w:rPr>
                <w:rFonts w:ascii="Arial" w:hAnsi="Arial" w:cs="Arial"/>
                <w:color w:val="0D0D0D"/>
              </w:rPr>
            </w:pPr>
            <w:r>
              <w:rPr>
                <w:rFonts w:ascii="Arial" w:hAnsi="Arial" w:cs="Arial"/>
                <w:color w:val="0D0D0D"/>
              </w:rPr>
              <w:t>Mar 16</w:t>
            </w:r>
          </w:p>
        </w:tc>
        <w:tc>
          <w:tcPr>
            <w:tcW w:w="1276" w:type="dxa"/>
          </w:tcPr>
          <w:p w:rsidR="00D8108B" w:rsidRDefault="00D8108B" w:rsidP="00D8108B">
            <w:pPr>
              <w:jc w:val="center"/>
            </w:pPr>
            <w:r w:rsidRPr="00322DE8">
              <w:rPr>
                <w:rFonts w:ascii="Arial" w:hAnsi="Arial" w:cs="Arial"/>
                <w:color w:val="0D0D0D"/>
              </w:rPr>
              <w:t>0.50%</w:t>
            </w:r>
          </w:p>
        </w:tc>
        <w:tc>
          <w:tcPr>
            <w:tcW w:w="1843" w:type="dxa"/>
          </w:tcPr>
          <w:p w:rsidR="00D8108B" w:rsidRPr="00670B8D" w:rsidRDefault="00D8108B" w:rsidP="00CD4006">
            <w:pPr>
              <w:jc w:val="center"/>
              <w:rPr>
                <w:rFonts w:ascii="Arial" w:hAnsi="Arial" w:cs="Arial"/>
                <w:color w:val="0D0D0D"/>
              </w:rPr>
            </w:pPr>
            <w:r>
              <w:rPr>
                <w:rFonts w:ascii="Arial" w:hAnsi="Arial" w:cs="Arial"/>
                <w:color w:val="0D0D0D"/>
              </w:rPr>
              <w:t>2.00%</w:t>
            </w:r>
          </w:p>
        </w:tc>
        <w:tc>
          <w:tcPr>
            <w:tcW w:w="1701" w:type="dxa"/>
          </w:tcPr>
          <w:p w:rsidR="00D8108B" w:rsidRPr="00670B8D" w:rsidRDefault="00D8108B" w:rsidP="00CD4006">
            <w:pPr>
              <w:jc w:val="center"/>
              <w:rPr>
                <w:rFonts w:ascii="Arial" w:hAnsi="Arial" w:cs="Arial"/>
                <w:color w:val="0D0D0D"/>
              </w:rPr>
            </w:pPr>
            <w:r>
              <w:rPr>
                <w:rFonts w:ascii="Arial" w:hAnsi="Arial" w:cs="Arial"/>
                <w:color w:val="0D0D0D"/>
              </w:rPr>
              <w:t>3.40%</w:t>
            </w:r>
          </w:p>
        </w:tc>
        <w:tc>
          <w:tcPr>
            <w:tcW w:w="1842" w:type="dxa"/>
          </w:tcPr>
          <w:p w:rsidR="00D8108B" w:rsidRPr="00670B8D" w:rsidRDefault="00D8108B" w:rsidP="00CD4006">
            <w:pPr>
              <w:jc w:val="center"/>
              <w:rPr>
                <w:rFonts w:ascii="Arial" w:hAnsi="Arial" w:cs="Arial"/>
                <w:color w:val="0D0D0D"/>
              </w:rPr>
            </w:pPr>
            <w:r>
              <w:rPr>
                <w:rFonts w:ascii="Arial" w:hAnsi="Arial" w:cs="Arial"/>
                <w:color w:val="0D0D0D"/>
              </w:rPr>
              <w:t>3.20%</w:t>
            </w:r>
          </w:p>
        </w:tc>
      </w:tr>
      <w:tr w:rsidR="00D8108B" w:rsidRPr="00670B8D" w:rsidTr="00CD4006">
        <w:tc>
          <w:tcPr>
            <w:tcW w:w="1701" w:type="dxa"/>
          </w:tcPr>
          <w:p w:rsidR="00D8108B" w:rsidRPr="00670B8D" w:rsidRDefault="00D8108B" w:rsidP="00CD4006">
            <w:pPr>
              <w:rPr>
                <w:rFonts w:ascii="Arial" w:hAnsi="Arial" w:cs="Arial"/>
                <w:color w:val="0D0D0D"/>
              </w:rPr>
            </w:pPr>
            <w:r>
              <w:rPr>
                <w:rFonts w:ascii="Arial" w:hAnsi="Arial" w:cs="Arial"/>
                <w:color w:val="0D0D0D"/>
              </w:rPr>
              <w:t>Jun 16</w:t>
            </w:r>
          </w:p>
        </w:tc>
        <w:tc>
          <w:tcPr>
            <w:tcW w:w="1276" w:type="dxa"/>
          </w:tcPr>
          <w:p w:rsidR="00D8108B" w:rsidRDefault="00D8108B" w:rsidP="00D8108B">
            <w:pPr>
              <w:jc w:val="center"/>
            </w:pPr>
            <w:r w:rsidRPr="00322DE8">
              <w:rPr>
                <w:rFonts w:ascii="Arial" w:hAnsi="Arial" w:cs="Arial"/>
                <w:color w:val="0D0D0D"/>
              </w:rPr>
              <w:t>0.50%</w:t>
            </w:r>
          </w:p>
        </w:tc>
        <w:tc>
          <w:tcPr>
            <w:tcW w:w="1843" w:type="dxa"/>
          </w:tcPr>
          <w:p w:rsidR="00D8108B" w:rsidRPr="00670B8D" w:rsidRDefault="00D8108B" w:rsidP="00CD4006">
            <w:pPr>
              <w:jc w:val="center"/>
              <w:rPr>
                <w:rFonts w:ascii="Arial" w:hAnsi="Arial" w:cs="Arial"/>
                <w:color w:val="0D0D0D"/>
              </w:rPr>
            </w:pPr>
            <w:r>
              <w:rPr>
                <w:rFonts w:ascii="Arial" w:hAnsi="Arial" w:cs="Arial"/>
                <w:color w:val="0D0D0D"/>
              </w:rPr>
              <w:t>2.10%</w:t>
            </w:r>
          </w:p>
        </w:tc>
        <w:tc>
          <w:tcPr>
            <w:tcW w:w="1701" w:type="dxa"/>
          </w:tcPr>
          <w:p w:rsidR="00D8108B" w:rsidRPr="00670B8D" w:rsidRDefault="00D8108B" w:rsidP="00CD4006">
            <w:pPr>
              <w:jc w:val="center"/>
              <w:rPr>
                <w:rFonts w:ascii="Arial" w:hAnsi="Arial" w:cs="Arial"/>
                <w:color w:val="0D0D0D"/>
              </w:rPr>
            </w:pPr>
            <w:r>
              <w:rPr>
                <w:rFonts w:ascii="Arial" w:hAnsi="Arial" w:cs="Arial"/>
                <w:color w:val="0D0D0D"/>
              </w:rPr>
              <w:t>3.40%</w:t>
            </w:r>
          </w:p>
        </w:tc>
        <w:tc>
          <w:tcPr>
            <w:tcW w:w="1842" w:type="dxa"/>
          </w:tcPr>
          <w:p w:rsidR="00D8108B" w:rsidRPr="00670B8D" w:rsidRDefault="00D8108B" w:rsidP="00CD4006">
            <w:pPr>
              <w:jc w:val="center"/>
              <w:rPr>
                <w:rFonts w:ascii="Arial" w:hAnsi="Arial" w:cs="Arial"/>
                <w:color w:val="0D0D0D"/>
              </w:rPr>
            </w:pPr>
            <w:r>
              <w:rPr>
                <w:rFonts w:ascii="Arial" w:hAnsi="Arial" w:cs="Arial"/>
                <w:color w:val="0D0D0D"/>
              </w:rPr>
              <w:t>3.20%</w:t>
            </w:r>
          </w:p>
        </w:tc>
      </w:tr>
      <w:tr w:rsidR="00D8108B" w:rsidRPr="00670B8D" w:rsidTr="00CD4006">
        <w:tc>
          <w:tcPr>
            <w:tcW w:w="1701" w:type="dxa"/>
          </w:tcPr>
          <w:p w:rsidR="00D8108B" w:rsidRPr="00670B8D" w:rsidRDefault="00D8108B" w:rsidP="00CD4006">
            <w:pPr>
              <w:rPr>
                <w:rFonts w:ascii="Arial" w:hAnsi="Arial" w:cs="Arial"/>
                <w:color w:val="0D0D0D"/>
              </w:rPr>
            </w:pPr>
            <w:r>
              <w:rPr>
                <w:rFonts w:ascii="Arial" w:hAnsi="Arial" w:cs="Arial"/>
                <w:color w:val="0D0D0D"/>
              </w:rPr>
              <w:t>Sept 16</w:t>
            </w:r>
          </w:p>
        </w:tc>
        <w:tc>
          <w:tcPr>
            <w:tcW w:w="1276" w:type="dxa"/>
          </w:tcPr>
          <w:p w:rsidR="00D8108B" w:rsidRDefault="00D8108B" w:rsidP="00D8108B">
            <w:pPr>
              <w:jc w:val="center"/>
            </w:pPr>
            <w:r w:rsidRPr="00322DE8">
              <w:rPr>
                <w:rFonts w:ascii="Arial" w:hAnsi="Arial" w:cs="Arial"/>
                <w:color w:val="0D0D0D"/>
              </w:rPr>
              <w:t>0.50%</w:t>
            </w:r>
          </w:p>
        </w:tc>
        <w:tc>
          <w:tcPr>
            <w:tcW w:w="1843" w:type="dxa"/>
          </w:tcPr>
          <w:p w:rsidR="00D8108B" w:rsidRPr="00670B8D" w:rsidRDefault="00D8108B" w:rsidP="00CD4006">
            <w:pPr>
              <w:jc w:val="center"/>
              <w:rPr>
                <w:rFonts w:ascii="Arial" w:hAnsi="Arial" w:cs="Arial"/>
                <w:color w:val="0D0D0D"/>
              </w:rPr>
            </w:pPr>
            <w:r>
              <w:rPr>
                <w:rFonts w:ascii="Arial" w:hAnsi="Arial" w:cs="Arial"/>
                <w:color w:val="0D0D0D"/>
              </w:rPr>
              <w:t>2.20%</w:t>
            </w:r>
          </w:p>
        </w:tc>
        <w:tc>
          <w:tcPr>
            <w:tcW w:w="1701" w:type="dxa"/>
          </w:tcPr>
          <w:p w:rsidR="00D8108B" w:rsidRPr="00670B8D" w:rsidRDefault="00D8108B" w:rsidP="00CD4006">
            <w:pPr>
              <w:jc w:val="center"/>
              <w:rPr>
                <w:rFonts w:ascii="Arial" w:hAnsi="Arial" w:cs="Arial"/>
                <w:color w:val="0D0D0D"/>
              </w:rPr>
            </w:pPr>
            <w:r>
              <w:rPr>
                <w:rFonts w:ascii="Arial" w:hAnsi="Arial" w:cs="Arial"/>
                <w:color w:val="0D0D0D"/>
              </w:rPr>
              <w:t>3.50%</w:t>
            </w:r>
          </w:p>
        </w:tc>
        <w:tc>
          <w:tcPr>
            <w:tcW w:w="1842" w:type="dxa"/>
          </w:tcPr>
          <w:p w:rsidR="00D8108B" w:rsidRPr="00670B8D" w:rsidRDefault="00D8108B" w:rsidP="00CD4006">
            <w:pPr>
              <w:jc w:val="center"/>
              <w:rPr>
                <w:rFonts w:ascii="Arial" w:hAnsi="Arial" w:cs="Arial"/>
                <w:color w:val="0D0D0D"/>
              </w:rPr>
            </w:pPr>
            <w:r>
              <w:rPr>
                <w:rFonts w:ascii="Arial" w:hAnsi="Arial" w:cs="Arial"/>
                <w:color w:val="0D0D0D"/>
              </w:rPr>
              <w:t>3.30%</w:t>
            </w:r>
          </w:p>
        </w:tc>
      </w:tr>
      <w:tr w:rsidR="00D6535E" w:rsidRPr="00670B8D" w:rsidTr="00CD4006">
        <w:tc>
          <w:tcPr>
            <w:tcW w:w="1701" w:type="dxa"/>
          </w:tcPr>
          <w:p w:rsidR="00D6535E" w:rsidRPr="00670B8D" w:rsidRDefault="00D630D1" w:rsidP="00CD4006">
            <w:pPr>
              <w:rPr>
                <w:rFonts w:ascii="Arial" w:hAnsi="Arial" w:cs="Arial"/>
                <w:color w:val="0D0D0D"/>
              </w:rPr>
            </w:pPr>
            <w:r>
              <w:rPr>
                <w:rFonts w:ascii="Arial" w:hAnsi="Arial" w:cs="Arial"/>
                <w:color w:val="0D0D0D"/>
              </w:rPr>
              <w:t>Dec 16</w:t>
            </w:r>
          </w:p>
        </w:tc>
        <w:tc>
          <w:tcPr>
            <w:tcW w:w="1276" w:type="dxa"/>
          </w:tcPr>
          <w:p w:rsidR="00D6535E" w:rsidRPr="00670B8D" w:rsidRDefault="00D8108B" w:rsidP="00CD4006">
            <w:pPr>
              <w:jc w:val="center"/>
              <w:rPr>
                <w:rFonts w:ascii="Arial" w:hAnsi="Arial" w:cs="Arial"/>
                <w:color w:val="0D0D0D"/>
              </w:rPr>
            </w:pPr>
            <w:r>
              <w:rPr>
                <w:rFonts w:ascii="Arial" w:hAnsi="Arial" w:cs="Arial"/>
                <w:color w:val="0D0D0D"/>
              </w:rPr>
              <w:t>0.75%</w:t>
            </w:r>
          </w:p>
        </w:tc>
        <w:tc>
          <w:tcPr>
            <w:tcW w:w="1843" w:type="dxa"/>
          </w:tcPr>
          <w:p w:rsidR="00D6535E" w:rsidRPr="00670B8D" w:rsidRDefault="00D8108B" w:rsidP="00CD4006">
            <w:pPr>
              <w:jc w:val="center"/>
              <w:rPr>
                <w:rFonts w:ascii="Arial" w:hAnsi="Arial" w:cs="Arial"/>
                <w:color w:val="0D0D0D"/>
              </w:rPr>
            </w:pPr>
            <w:r>
              <w:rPr>
                <w:rFonts w:ascii="Arial" w:hAnsi="Arial" w:cs="Arial"/>
                <w:color w:val="0D0D0D"/>
              </w:rPr>
              <w:t>2.30%</w:t>
            </w:r>
          </w:p>
        </w:tc>
        <w:tc>
          <w:tcPr>
            <w:tcW w:w="1701" w:type="dxa"/>
          </w:tcPr>
          <w:p w:rsidR="00D6535E" w:rsidRPr="00670B8D" w:rsidRDefault="00D8108B" w:rsidP="00CD4006">
            <w:pPr>
              <w:jc w:val="center"/>
              <w:rPr>
                <w:rFonts w:ascii="Arial" w:hAnsi="Arial" w:cs="Arial"/>
                <w:color w:val="0D0D0D"/>
              </w:rPr>
            </w:pPr>
            <w:r>
              <w:rPr>
                <w:rFonts w:ascii="Arial" w:hAnsi="Arial" w:cs="Arial"/>
                <w:color w:val="0D0D0D"/>
              </w:rPr>
              <w:t>3.60%</w:t>
            </w:r>
          </w:p>
        </w:tc>
        <w:tc>
          <w:tcPr>
            <w:tcW w:w="1842" w:type="dxa"/>
          </w:tcPr>
          <w:p w:rsidR="00D6535E" w:rsidRPr="00670B8D" w:rsidRDefault="00D8108B" w:rsidP="00CD4006">
            <w:pPr>
              <w:jc w:val="center"/>
              <w:rPr>
                <w:rFonts w:ascii="Arial" w:hAnsi="Arial" w:cs="Arial"/>
                <w:color w:val="0D0D0D"/>
              </w:rPr>
            </w:pPr>
            <w:r>
              <w:rPr>
                <w:rFonts w:ascii="Arial" w:hAnsi="Arial" w:cs="Arial"/>
                <w:color w:val="0D0D0D"/>
              </w:rPr>
              <w:t>3.40%</w:t>
            </w:r>
          </w:p>
        </w:tc>
      </w:tr>
      <w:tr w:rsidR="00D6535E" w:rsidRPr="00670B8D" w:rsidTr="00CD4006">
        <w:tc>
          <w:tcPr>
            <w:tcW w:w="1701" w:type="dxa"/>
          </w:tcPr>
          <w:p w:rsidR="00D6535E" w:rsidRPr="00670B8D" w:rsidRDefault="00D630D1" w:rsidP="00CD4006">
            <w:pPr>
              <w:rPr>
                <w:rFonts w:ascii="Arial" w:hAnsi="Arial" w:cs="Arial"/>
                <w:color w:val="0D0D0D"/>
              </w:rPr>
            </w:pPr>
            <w:r>
              <w:rPr>
                <w:rFonts w:ascii="Arial" w:hAnsi="Arial" w:cs="Arial"/>
                <w:color w:val="0D0D0D"/>
              </w:rPr>
              <w:t>Mar 17</w:t>
            </w:r>
          </w:p>
        </w:tc>
        <w:tc>
          <w:tcPr>
            <w:tcW w:w="1276" w:type="dxa"/>
          </w:tcPr>
          <w:p w:rsidR="00D6535E" w:rsidRPr="00670B8D" w:rsidRDefault="00D8108B" w:rsidP="00CD4006">
            <w:pPr>
              <w:jc w:val="center"/>
              <w:rPr>
                <w:rFonts w:ascii="Arial" w:hAnsi="Arial" w:cs="Arial"/>
                <w:color w:val="0D0D0D"/>
              </w:rPr>
            </w:pPr>
            <w:r>
              <w:rPr>
                <w:rFonts w:ascii="Arial" w:hAnsi="Arial" w:cs="Arial"/>
                <w:color w:val="0D0D0D"/>
              </w:rPr>
              <w:t>0.75%</w:t>
            </w:r>
          </w:p>
        </w:tc>
        <w:tc>
          <w:tcPr>
            <w:tcW w:w="1843" w:type="dxa"/>
          </w:tcPr>
          <w:p w:rsidR="00D6535E" w:rsidRPr="00670B8D" w:rsidRDefault="00D8108B" w:rsidP="00CD4006">
            <w:pPr>
              <w:jc w:val="center"/>
              <w:rPr>
                <w:rFonts w:ascii="Arial" w:hAnsi="Arial" w:cs="Arial"/>
                <w:color w:val="0D0D0D"/>
              </w:rPr>
            </w:pPr>
            <w:r>
              <w:rPr>
                <w:rFonts w:ascii="Arial" w:hAnsi="Arial" w:cs="Arial"/>
                <w:color w:val="0D0D0D"/>
              </w:rPr>
              <w:t>2.40%</w:t>
            </w:r>
          </w:p>
        </w:tc>
        <w:tc>
          <w:tcPr>
            <w:tcW w:w="1701" w:type="dxa"/>
          </w:tcPr>
          <w:p w:rsidR="00D6535E" w:rsidRPr="00670B8D" w:rsidRDefault="00D8108B" w:rsidP="00CD4006">
            <w:pPr>
              <w:jc w:val="center"/>
              <w:rPr>
                <w:rFonts w:ascii="Arial" w:hAnsi="Arial" w:cs="Arial"/>
                <w:color w:val="0D0D0D"/>
              </w:rPr>
            </w:pPr>
            <w:r>
              <w:rPr>
                <w:rFonts w:ascii="Arial" w:hAnsi="Arial" w:cs="Arial"/>
                <w:color w:val="0D0D0D"/>
              </w:rPr>
              <w:t>3.70%</w:t>
            </w:r>
          </w:p>
        </w:tc>
        <w:tc>
          <w:tcPr>
            <w:tcW w:w="1842" w:type="dxa"/>
          </w:tcPr>
          <w:p w:rsidR="00D6535E" w:rsidRPr="00670B8D" w:rsidRDefault="00D8108B" w:rsidP="00CD4006">
            <w:pPr>
              <w:jc w:val="center"/>
              <w:rPr>
                <w:rFonts w:ascii="Arial" w:hAnsi="Arial" w:cs="Arial"/>
                <w:color w:val="0D0D0D"/>
              </w:rPr>
            </w:pPr>
            <w:r>
              <w:rPr>
                <w:rFonts w:ascii="Arial" w:hAnsi="Arial" w:cs="Arial"/>
                <w:color w:val="0D0D0D"/>
              </w:rPr>
              <w:t>3.50%</w:t>
            </w:r>
          </w:p>
        </w:tc>
      </w:tr>
      <w:tr w:rsidR="00D6535E" w:rsidRPr="00670B8D" w:rsidTr="00CD4006">
        <w:tc>
          <w:tcPr>
            <w:tcW w:w="1701" w:type="dxa"/>
          </w:tcPr>
          <w:p w:rsidR="00D6535E" w:rsidRPr="00670B8D" w:rsidRDefault="00D630D1" w:rsidP="00CD4006">
            <w:pPr>
              <w:rPr>
                <w:rFonts w:ascii="Arial" w:hAnsi="Arial" w:cs="Arial"/>
                <w:color w:val="0D0D0D"/>
              </w:rPr>
            </w:pPr>
            <w:r>
              <w:rPr>
                <w:rFonts w:ascii="Arial" w:hAnsi="Arial" w:cs="Arial"/>
                <w:color w:val="0D0D0D"/>
              </w:rPr>
              <w:t>Jun 17</w:t>
            </w:r>
          </w:p>
        </w:tc>
        <w:tc>
          <w:tcPr>
            <w:tcW w:w="1276" w:type="dxa"/>
          </w:tcPr>
          <w:p w:rsidR="00D6535E" w:rsidRPr="00670B8D" w:rsidRDefault="00D8108B" w:rsidP="00CD4006">
            <w:pPr>
              <w:jc w:val="center"/>
              <w:rPr>
                <w:rFonts w:ascii="Arial" w:hAnsi="Arial" w:cs="Arial"/>
                <w:color w:val="0D0D0D"/>
              </w:rPr>
            </w:pPr>
            <w:r>
              <w:rPr>
                <w:rFonts w:ascii="Arial" w:hAnsi="Arial" w:cs="Arial"/>
                <w:color w:val="0D0D0D"/>
              </w:rPr>
              <w:t>1.00%</w:t>
            </w:r>
          </w:p>
        </w:tc>
        <w:tc>
          <w:tcPr>
            <w:tcW w:w="1843" w:type="dxa"/>
          </w:tcPr>
          <w:p w:rsidR="00D6535E" w:rsidRPr="00670B8D" w:rsidRDefault="00D8108B" w:rsidP="00CD4006">
            <w:pPr>
              <w:jc w:val="center"/>
              <w:rPr>
                <w:rFonts w:ascii="Arial" w:hAnsi="Arial" w:cs="Arial"/>
                <w:color w:val="0D0D0D"/>
              </w:rPr>
            </w:pPr>
            <w:r>
              <w:rPr>
                <w:rFonts w:ascii="Arial" w:hAnsi="Arial" w:cs="Arial"/>
                <w:color w:val="0D0D0D"/>
              </w:rPr>
              <w:t>2.50%</w:t>
            </w:r>
          </w:p>
        </w:tc>
        <w:tc>
          <w:tcPr>
            <w:tcW w:w="1701" w:type="dxa"/>
          </w:tcPr>
          <w:p w:rsidR="00D6535E" w:rsidRPr="00670B8D" w:rsidRDefault="00D8108B" w:rsidP="00CD4006">
            <w:pPr>
              <w:jc w:val="center"/>
              <w:rPr>
                <w:rFonts w:ascii="Arial" w:hAnsi="Arial" w:cs="Arial"/>
                <w:color w:val="0D0D0D"/>
              </w:rPr>
            </w:pPr>
            <w:r>
              <w:rPr>
                <w:rFonts w:ascii="Arial" w:hAnsi="Arial" w:cs="Arial"/>
                <w:color w:val="0D0D0D"/>
              </w:rPr>
              <w:t>3.70%</w:t>
            </w:r>
          </w:p>
        </w:tc>
        <w:tc>
          <w:tcPr>
            <w:tcW w:w="1842" w:type="dxa"/>
          </w:tcPr>
          <w:p w:rsidR="00D6535E" w:rsidRPr="00670B8D" w:rsidRDefault="00D8108B" w:rsidP="00CD4006">
            <w:pPr>
              <w:jc w:val="center"/>
              <w:rPr>
                <w:rFonts w:ascii="Arial" w:hAnsi="Arial" w:cs="Arial"/>
                <w:color w:val="0D0D0D"/>
              </w:rPr>
            </w:pPr>
            <w:r>
              <w:rPr>
                <w:rFonts w:ascii="Arial" w:hAnsi="Arial" w:cs="Arial"/>
                <w:color w:val="0D0D0D"/>
              </w:rPr>
              <w:t>3.60%</w:t>
            </w:r>
          </w:p>
        </w:tc>
      </w:tr>
      <w:tr w:rsidR="00D6535E" w:rsidRPr="00670B8D" w:rsidTr="00CD4006">
        <w:tc>
          <w:tcPr>
            <w:tcW w:w="1701" w:type="dxa"/>
          </w:tcPr>
          <w:p w:rsidR="00D6535E" w:rsidRPr="00670B8D" w:rsidRDefault="00D630D1" w:rsidP="00CD4006">
            <w:pPr>
              <w:rPr>
                <w:rFonts w:ascii="Arial" w:hAnsi="Arial" w:cs="Arial"/>
                <w:color w:val="0D0D0D"/>
              </w:rPr>
            </w:pPr>
            <w:r>
              <w:rPr>
                <w:rFonts w:ascii="Arial" w:hAnsi="Arial" w:cs="Arial"/>
                <w:color w:val="0D0D0D"/>
              </w:rPr>
              <w:t>Sept 17</w:t>
            </w:r>
          </w:p>
        </w:tc>
        <w:tc>
          <w:tcPr>
            <w:tcW w:w="1276" w:type="dxa"/>
          </w:tcPr>
          <w:p w:rsidR="00D6535E" w:rsidRPr="00670B8D" w:rsidRDefault="00D8108B" w:rsidP="00CD4006">
            <w:pPr>
              <w:jc w:val="center"/>
              <w:rPr>
                <w:rFonts w:ascii="Arial" w:hAnsi="Arial" w:cs="Arial"/>
                <w:color w:val="0D0D0D"/>
              </w:rPr>
            </w:pPr>
            <w:r>
              <w:rPr>
                <w:rFonts w:ascii="Arial" w:hAnsi="Arial" w:cs="Arial"/>
                <w:color w:val="0D0D0D"/>
              </w:rPr>
              <w:t>1.00%</w:t>
            </w:r>
          </w:p>
        </w:tc>
        <w:tc>
          <w:tcPr>
            <w:tcW w:w="1843" w:type="dxa"/>
          </w:tcPr>
          <w:p w:rsidR="00D6535E" w:rsidRPr="00670B8D" w:rsidRDefault="00D8108B" w:rsidP="00CD4006">
            <w:pPr>
              <w:jc w:val="center"/>
              <w:rPr>
                <w:rFonts w:ascii="Arial" w:hAnsi="Arial" w:cs="Arial"/>
                <w:color w:val="0D0D0D"/>
              </w:rPr>
            </w:pPr>
            <w:r>
              <w:rPr>
                <w:rFonts w:ascii="Arial" w:hAnsi="Arial" w:cs="Arial"/>
                <w:color w:val="0D0D0D"/>
              </w:rPr>
              <w:t>2.60%</w:t>
            </w:r>
          </w:p>
        </w:tc>
        <w:tc>
          <w:tcPr>
            <w:tcW w:w="1701" w:type="dxa"/>
          </w:tcPr>
          <w:p w:rsidR="00D6535E" w:rsidRPr="00670B8D" w:rsidRDefault="00D8108B" w:rsidP="00CD4006">
            <w:pPr>
              <w:jc w:val="center"/>
              <w:rPr>
                <w:rFonts w:ascii="Arial" w:hAnsi="Arial" w:cs="Arial"/>
                <w:color w:val="0D0D0D"/>
              </w:rPr>
            </w:pPr>
            <w:r>
              <w:rPr>
                <w:rFonts w:ascii="Arial" w:hAnsi="Arial" w:cs="Arial"/>
                <w:color w:val="0D0D0D"/>
              </w:rPr>
              <w:t>3.80%</w:t>
            </w:r>
          </w:p>
        </w:tc>
        <w:tc>
          <w:tcPr>
            <w:tcW w:w="1842" w:type="dxa"/>
          </w:tcPr>
          <w:p w:rsidR="00D6535E" w:rsidRPr="00670B8D" w:rsidRDefault="00D8108B" w:rsidP="00CD4006">
            <w:pPr>
              <w:jc w:val="center"/>
              <w:rPr>
                <w:rFonts w:ascii="Arial" w:hAnsi="Arial" w:cs="Arial"/>
                <w:color w:val="0D0D0D"/>
              </w:rPr>
            </w:pPr>
            <w:r>
              <w:rPr>
                <w:rFonts w:ascii="Arial" w:hAnsi="Arial" w:cs="Arial"/>
                <w:color w:val="0D0D0D"/>
              </w:rPr>
              <w:t>3.70%</w:t>
            </w:r>
          </w:p>
        </w:tc>
      </w:tr>
      <w:tr w:rsidR="00D6535E" w:rsidRPr="00670B8D" w:rsidTr="00CD4006">
        <w:tc>
          <w:tcPr>
            <w:tcW w:w="1701" w:type="dxa"/>
          </w:tcPr>
          <w:p w:rsidR="00D6535E" w:rsidRPr="00670B8D" w:rsidRDefault="00D630D1" w:rsidP="00CD4006">
            <w:pPr>
              <w:rPr>
                <w:rFonts w:ascii="Arial" w:hAnsi="Arial" w:cs="Arial"/>
                <w:color w:val="0D0D0D"/>
              </w:rPr>
            </w:pPr>
            <w:r>
              <w:rPr>
                <w:rFonts w:ascii="Arial" w:hAnsi="Arial" w:cs="Arial"/>
                <w:color w:val="0D0D0D"/>
              </w:rPr>
              <w:t>Dec 17</w:t>
            </w:r>
          </w:p>
        </w:tc>
        <w:tc>
          <w:tcPr>
            <w:tcW w:w="1276" w:type="dxa"/>
          </w:tcPr>
          <w:p w:rsidR="00D6535E" w:rsidRPr="00670B8D" w:rsidRDefault="00D8108B" w:rsidP="00CD4006">
            <w:pPr>
              <w:jc w:val="center"/>
              <w:rPr>
                <w:rFonts w:ascii="Arial" w:hAnsi="Arial" w:cs="Arial"/>
                <w:color w:val="0D0D0D"/>
              </w:rPr>
            </w:pPr>
            <w:r>
              <w:rPr>
                <w:rFonts w:ascii="Arial" w:hAnsi="Arial" w:cs="Arial"/>
                <w:color w:val="0D0D0D"/>
              </w:rPr>
              <w:t>1.25%</w:t>
            </w:r>
          </w:p>
        </w:tc>
        <w:tc>
          <w:tcPr>
            <w:tcW w:w="1843" w:type="dxa"/>
          </w:tcPr>
          <w:p w:rsidR="00D6535E" w:rsidRPr="00670B8D" w:rsidRDefault="00D8108B" w:rsidP="00CD4006">
            <w:pPr>
              <w:jc w:val="center"/>
              <w:rPr>
                <w:rFonts w:ascii="Arial" w:hAnsi="Arial" w:cs="Arial"/>
                <w:color w:val="0D0D0D"/>
              </w:rPr>
            </w:pPr>
            <w:r>
              <w:rPr>
                <w:rFonts w:ascii="Arial" w:hAnsi="Arial" w:cs="Arial"/>
                <w:color w:val="0D0D0D"/>
              </w:rPr>
              <w:t>2.70%</w:t>
            </w:r>
          </w:p>
        </w:tc>
        <w:tc>
          <w:tcPr>
            <w:tcW w:w="1701" w:type="dxa"/>
          </w:tcPr>
          <w:p w:rsidR="00D6535E" w:rsidRPr="00670B8D" w:rsidRDefault="00D8108B" w:rsidP="00CD4006">
            <w:pPr>
              <w:jc w:val="center"/>
              <w:rPr>
                <w:rFonts w:ascii="Arial" w:hAnsi="Arial" w:cs="Arial"/>
                <w:color w:val="0D0D0D"/>
              </w:rPr>
            </w:pPr>
            <w:r>
              <w:rPr>
                <w:rFonts w:ascii="Arial" w:hAnsi="Arial" w:cs="Arial"/>
                <w:color w:val="0D0D0D"/>
              </w:rPr>
              <w:t>3.90%</w:t>
            </w:r>
          </w:p>
        </w:tc>
        <w:tc>
          <w:tcPr>
            <w:tcW w:w="1842" w:type="dxa"/>
          </w:tcPr>
          <w:p w:rsidR="00D6535E" w:rsidRPr="00670B8D" w:rsidRDefault="00D8108B" w:rsidP="00CD4006">
            <w:pPr>
              <w:jc w:val="center"/>
              <w:rPr>
                <w:rFonts w:ascii="Arial" w:hAnsi="Arial" w:cs="Arial"/>
                <w:color w:val="0D0D0D"/>
              </w:rPr>
            </w:pPr>
            <w:r>
              <w:rPr>
                <w:rFonts w:ascii="Arial" w:hAnsi="Arial" w:cs="Arial"/>
                <w:color w:val="0D0D0D"/>
              </w:rPr>
              <w:t>3.80%</w:t>
            </w:r>
          </w:p>
        </w:tc>
      </w:tr>
      <w:tr w:rsidR="00D6535E" w:rsidRPr="00670B8D" w:rsidTr="00CD4006">
        <w:tc>
          <w:tcPr>
            <w:tcW w:w="1701" w:type="dxa"/>
            <w:tcBorders>
              <w:top w:val="single" w:sz="4" w:space="0" w:color="auto"/>
              <w:left w:val="single" w:sz="4" w:space="0" w:color="auto"/>
              <w:bottom w:val="single" w:sz="4" w:space="0" w:color="auto"/>
              <w:right w:val="single" w:sz="4" w:space="0" w:color="auto"/>
            </w:tcBorders>
          </w:tcPr>
          <w:p w:rsidR="00D6535E" w:rsidRPr="00670B8D" w:rsidRDefault="00D630D1" w:rsidP="00CD4006">
            <w:pPr>
              <w:rPr>
                <w:rFonts w:ascii="Arial" w:hAnsi="Arial" w:cs="Arial"/>
                <w:color w:val="0D0D0D"/>
              </w:rPr>
            </w:pPr>
            <w:r>
              <w:rPr>
                <w:rFonts w:ascii="Arial" w:hAnsi="Arial" w:cs="Arial"/>
                <w:color w:val="0D0D0D"/>
              </w:rPr>
              <w:t>Mar 18</w:t>
            </w:r>
          </w:p>
        </w:tc>
        <w:tc>
          <w:tcPr>
            <w:tcW w:w="1276"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1.25%</w:t>
            </w:r>
          </w:p>
        </w:tc>
        <w:tc>
          <w:tcPr>
            <w:tcW w:w="1843"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2.80%</w:t>
            </w:r>
          </w:p>
        </w:tc>
        <w:tc>
          <w:tcPr>
            <w:tcW w:w="1701"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4.00%</w:t>
            </w:r>
          </w:p>
        </w:tc>
        <w:tc>
          <w:tcPr>
            <w:tcW w:w="1842"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3.90%</w:t>
            </w:r>
          </w:p>
        </w:tc>
      </w:tr>
      <w:tr w:rsidR="00D6535E" w:rsidRPr="00670B8D" w:rsidTr="00CD4006">
        <w:tc>
          <w:tcPr>
            <w:tcW w:w="1701" w:type="dxa"/>
            <w:tcBorders>
              <w:top w:val="single" w:sz="4" w:space="0" w:color="auto"/>
              <w:left w:val="single" w:sz="4" w:space="0" w:color="auto"/>
              <w:bottom w:val="single" w:sz="4" w:space="0" w:color="auto"/>
              <w:right w:val="single" w:sz="4" w:space="0" w:color="auto"/>
            </w:tcBorders>
          </w:tcPr>
          <w:p w:rsidR="00D6535E" w:rsidRPr="00670B8D" w:rsidRDefault="00D630D1" w:rsidP="00CD4006">
            <w:pPr>
              <w:rPr>
                <w:rFonts w:ascii="Arial" w:hAnsi="Arial" w:cs="Arial"/>
                <w:color w:val="0D0D0D"/>
              </w:rPr>
            </w:pPr>
            <w:r>
              <w:rPr>
                <w:rFonts w:ascii="Arial" w:hAnsi="Arial" w:cs="Arial"/>
                <w:color w:val="0D0D0D"/>
              </w:rPr>
              <w:t>Jun 18</w:t>
            </w:r>
          </w:p>
        </w:tc>
        <w:tc>
          <w:tcPr>
            <w:tcW w:w="1276"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1.50%</w:t>
            </w:r>
          </w:p>
        </w:tc>
        <w:tc>
          <w:tcPr>
            <w:tcW w:w="1843"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2.90%</w:t>
            </w:r>
          </w:p>
        </w:tc>
        <w:tc>
          <w:tcPr>
            <w:tcW w:w="1701"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4.00%</w:t>
            </w:r>
          </w:p>
        </w:tc>
        <w:tc>
          <w:tcPr>
            <w:tcW w:w="1842"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3.90%</w:t>
            </w:r>
          </w:p>
        </w:tc>
      </w:tr>
      <w:tr w:rsidR="00D6535E" w:rsidRPr="00670B8D" w:rsidTr="00CD4006">
        <w:tc>
          <w:tcPr>
            <w:tcW w:w="1701" w:type="dxa"/>
            <w:tcBorders>
              <w:top w:val="single" w:sz="4" w:space="0" w:color="auto"/>
              <w:left w:val="single" w:sz="4" w:space="0" w:color="auto"/>
              <w:bottom w:val="single" w:sz="4" w:space="0" w:color="auto"/>
              <w:right w:val="single" w:sz="4" w:space="0" w:color="auto"/>
            </w:tcBorders>
          </w:tcPr>
          <w:p w:rsidR="00D6535E" w:rsidRPr="00670B8D" w:rsidRDefault="00D630D1" w:rsidP="00CD4006">
            <w:pPr>
              <w:rPr>
                <w:rFonts w:ascii="Arial" w:hAnsi="Arial" w:cs="Arial"/>
                <w:color w:val="0D0D0D"/>
              </w:rPr>
            </w:pPr>
            <w:r>
              <w:rPr>
                <w:rFonts w:ascii="Arial" w:hAnsi="Arial" w:cs="Arial"/>
                <w:color w:val="0D0D0D"/>
              </w:rPr>
              <w:t>Sept 18</w:t>
            </w:r>
          </w:p>
        </w:tc>
        <w:tc>
          <w:tcPr>
            <w:tcW w:w="1276"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1.50%</w:t>
            </w:r>
          </w:p>
        </w:tc>
        <w:tc>
          <w:tcPr>
            <w:tcW w:w="1843"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3.00%</w:t>
            </w:r>
          </w:p>
        </w:tc>
        <w:tc>
          <w:tcPr>
            <w:tcW w:w="1701"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4.10%</w:t>
            </w:r>
          </w:p>
        </w:tc>
        <w:tc>
          <w:tcPr>
            <w:tcW w:w="1842"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4.00%</w:t>
            </w:r>
          </w:p>
        </w:tc>
      </w:tr>
      <w:tr w:rsidR="00D6535E" w:rsidRPr="00670B8D" w:rsidTr="00CD4006">
        <w:tc>
          <w:tcPr>
            <w:tcW w:w="1701" w:type="dxa"/>
            <w:tcBorders>
              <w:top w:val="single" w:sz="4" w:space="0" w:color="auto"/>
              <w:left w:val="single" w:sz="4" w:space="0" w:color="auto"/>
              <w:bottom w:val="single" w:sz="4" w:space="0" w:color="auto"/>
              <w:right w:val="single" w:sz="4" w:space="0" w:color="auto"/>
            </w:tcBorders>
          </w:tcPr>
          <w:p w:rsidR="00D6535E" w:rsidRPr="00670B8D" w:rsidRDefault="00D630D1" w:rsidP="00CD4006">
            <w:pPr>
              <w:rPr>
                <w:rFonts w:ascii="Arial" w:hAnsi="Arial" w:cs="Arial"/>
                <w:color w:val="0D0D0D"/>
              </w:rPr>
            </w:pPr>
            <w:r>
              <w:rPr>
                <w:rFonts w:ascii="Arial" w:hAnsi="Arial" w:cs="Arial"/>
                <w:color w:val="0D0D0D"/>
              </w:rPr>
              <w:t>Dec 18</w:t>
            </w:r>
          </w:p>
        </w:tc>
        <w:tc>
          <w:tcPr>
            <w:tcW w:w="1276"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1.75%</w:t>
            </w:r>
          </w:p>
        </w:tc>
        <w:tc>
          <w:tcPr>
            <w:tcW w:w="1843"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3.10%</w:t>
            </w:r>
          </w:p>
        </w:tc>
        <w:tc>
          <w:tcPr>
            <w:tcW w:w="1701"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4.10%</w:t>
            </w:r>
          </w:p>
        </w:tc>
        <w:tc>
          <w:tcPr>
            <w:tcW w:w="1842" w:type="dxa"/>
            <w:tcBorders>
              <w:top w:val="single" w:sz="4" w:space="0" w:color="auto"/>
              <w:left w:val="single" w:sz="4" w:space="0" w:color="auto"/>
              <w:bottom w:val="single" w:sz="4" w:space="0" w:color="auto"/>
              <w:right w:val="single" w:sz="4" w:space="0" w:color="auto"/>
            </w:tcBorders>
          </w:tcPr>
          <w:p w:rsidR="00D6535E" w:rsidRPr="00670B8D" w:rsidRDefault="00D8108B" w:rsidP="00CD4006">
            <w:pPr>
              <w:jc w:val="center"/>
              <w:rPr>
                <w:rFonts w:ascii="Arial" w:hAnsi="Arial" w:cs="Arial"/>
                <w:color w:val="0D0D0D"/>
              </w:rPr>
            </w:pPr>
            <w:r>
              <w:rPr>
                <w:rFonts w:ascii="Arial" w:hAnsi="Arial" w:cs="Arial"/>
                <w:color w:val="0D0D0D"/>
              </w:rPr>
              <w:t>4.00%</w:t>
            </w:r>
          </w:p>
        </w:tc>
      </w:tr>
    </w:tbl>
    <w:p w:rsidR="00D6535E" w:rsidRDefault="00D8108B" w:rsidP="00B817F0">
      <w:pPr>
        <w:spacing w:before="90"/>
        <w:jc w:val="both"/>
        <w:rPr>
          <w:rFonts w:ascii="Arial" w:hAnsi="Arial" w:cs="Arial"/>
          <w:noProof/>
          <w:sz w:val="20"/>
          <w:szCs w:val="20"/>
        </w:rPr>
      </w:pPr>
      <w:r>
        <w:rPr>
          <w:rFonts w:ascii="Arial" w:hAnsi="Arial" w:cs="Arial"/>
          <w:noProof/>
          <w:sz w:val="20"/>
          <w:szCs w:val="20"/>
        </w:rPr>
        <w:tab/>
        <w:t>As at 27 January 2016</w:t>
      </w:r>
    </w:p>
    <w:p w:rsidR="00D8108B" w:rsidRPr="00D8108B" w:rsidRDefault="00D8108B" w:rsidP="00B817F0">
      <w:pPr>
        <w:spacing w:before="90"/>
        <w:jc w:val="both"/>
        <w:rPr>
          <w:rFonts w:ascii="Arial" w:hAnsi="Arial" w:cs="Arial"/>
          <w:noProof/>
          <w:sz w:val="20"/>
          <w:szCs w:val="20"/>
        </w:rPr>
      </w:pPr>
    </w:p>
    <w:p w:rsidR="00D6535E" w:rsidRPr="0040583C" w:rsidRDefault="00D6535E" w:rsidP="00D6535E">
      <w:pPr>
        <w:pStyle w:val="BodyText"/>
        <w:ind w:left="720" w:hanging="720"/>
        <w:jc w:val="both"/>
        <w:rPr>
          <w:rFonts w:ascii="Arial" w:hAnsi="Arial" w:cs="Arial"/>
          <w:noProof/>
        </w:rPr>
      </w:pPr>
      <w:r>
        <w:rPr>
          <w:rFonts w:ascii="Arial" w:hAnsi="Arial" w:cs="Arial"/>
          <w:noProof/>
        </w:rPr>
        <w:t>18</w:t>
      </w:r>
      <w:r w:rsidRPr="0040583C">
        <w:rPr>
          <w:rFonts w:ascii="Arial" w:hAnsi="Arial" w:cs="Arial"/>
          <w:noProof/>
        </w:rPr>
        <w:t>.</w:t>
      </w:r>
      <w:r w:rsidRPr="0040583C">
        <w:rPr>
          <w:rFonts w:ascii="Arial" w:hAnsi="Arial" w:cs="Arial"/>
          <w:noProof/>
        </w:rPr>
        <w:tab/>
        <w:t>A more detailed interest rate view and economic commentary is at Appendix</w:t>
      </w:r>
      <w:r>
        <w:rPr>
          <w:rFonts w:ascii="Arial" w:hAnsi="Arial" w:cs="Arial"/>
          <w:noProof/>
        </w:rPr>
        <w:t xml:space="preserve"> 2</w:t>
      </w:r>
      <w:r w:rsidR="002F3B33">
        <w:rPr>
          <w:rFonts w:ascii="Arial" w:hAnsi="Arial" w:cs="Arial"/>
          <w:noProof/>
        </w:rPr>
        <w:t xml:space="preserve">, although </w:t>
      </w:r>
      <w:r w:rsidR="00664E0D">
        <w:rPr>
          <w:rFonts w:ascii="Arial" w:hAnsi="Arial" w:cs="Arial"/>
          <w:noProof/>
        </w:rPr>
        <w:t xml:space="preserve">it should be noted </w:t>
      </w:r>
      <w:r w:rsidR="002F3B33">
        <w:rPr>
          <w:rFonts w:ascii="Arial" w:hAnsi="Arial" w:cs="Arial"/>
          <w:noProof/>
        </w:rPr>
        <w:t>this is based on information received in November 2015</w:t>
      </w:r>
      <w:r>
        <w:rPr>
          <w:rFonts w:ascii="Arial" w:hAnsi="Arial" w:cs="Arial"/>
          <w:noProof/>
        </w:rPr>
        <w:t>.</w:t>
      </w:r>
    </w:p>
    <w:p w:rsidR="00D6535E" w:rsidRPr="00F3704E" w:rsidRDefault="00D6535E" w:rsidP="00D6535E">
      <w:pPr>
        <w:pStyle w:val="BodyText"/>
        <w:numPr>
          <w:ilvl w:val="12"/>
          <w:numId w:val="0"/>
        </w:numPr>
        <w:ind w:left="360"/>
        <w:jc w:val="both"/>
        <w:rPr>
          <w:rFonts w:ascii="Arial" w:hAnsi="Arial" w:cs="Arial"/>
          <w:noProof/>
          <w:color w:val="4F81BD" w:themeColor="accent1"/>
        </w:rPr>
      </w:pPr>
    </w:p>
    <w:p w:rsidR="00D6535E" w:rsidRPr="00787FCE" w:rsidRDefault="00D6535E" w:rsidP="00D6535E">
      <w:pPr>
        <w:pStyle w:val="BodyText"/>
        <w:numPr>
          <w:ilvl w:val="12"/>
          <w:numId w:val="0"/>
        </w:numPr>
        <w:jc w:val="both"/>
        <w:rPr>
          <w:rFonts w:ascii="Arial" w:hAnsi="Arial" w:cs="Arial"/>
          <w:b/>
          <w:bCs/>
          <w:noProof/>
          <w:color w:val="000000" w:themeColor="text1"/>
        </w:rPr>
      </w:pPr>
      <w:r w:rsidRPr="00787FCE">
        <w:rPr>
          <w:rFonts w:ascii="Arial" w:hAnsi="Arial" w:cs="Arial"/>
          <w:b/>
          <w:bCs/>
          <w:noProof/>
          <w:color w:val="000000" w:themeColor="text1"/>
        </w:rPr>
        <w:t xml:space="preserve">Borrowing Strategy </w:t>
      </w:r>
    </w:p>
    <w:p w:rsidR="00D6535E" w:rsidRPr="00F3704E" w:rsidRDefault="00D6535E" w:rsidP="00D6535E">
      <w:pPr>
        <w:pStyle w:val="BodyText"/>
        <w:numPr>
          <w:ilvl w:val="12"/>
          <w:numId w:val="0"/>
        </w:numPr>
        <w:jc w:val="both"/>
        <w:rPr>
          <w:rFonts w:ascii="Arial" w:hAnsi="Arial" w:cs="Arial"/>
          <w:b/>
          <w:bCs/>
          <w:noProof/>
          <w:color w:val="4F81BD" w:themeColor="accent1"/>
        </w:rPr>
      </w:pPr>
    </w:p>
    <w:p w:rsidR="00D6535E" w:rsidRPr="00C50634" w:rsidRDefault="00D6535E" w:rsidP="00D6535E">
      <w:pPr>
        <w:ind w:left="720" w:hanging="720"/>
        <w:jc w:val="both"/>
        <w:rPr>
          <w:rFonts w:ascii="Arial" w:hAnsi="Arial" w:cs="Arial"/>
        </w:rPr>
      </w:pPr>
      <w:r>
        <w:rPr>
          <w:rFonts w:ascii="Arial" w:hAnsi="Arial" w:cs="Arial"/>
          <w:noProof/>
        </w:rPr>
        <w:t>19</w:t>
      </w:r>
      <w:r w:rsidRPr="00787FCE">
        <w:rPr>
          <w:rFonts w:ascii="Arial" w:hAnsi="Arial" w:cs="Arial"/>
          <w:noProof/>
        </w:rPr>
        <w:t>.</w:t>
      </w:r>
      <w:r w:rsidRPr="00787FCE">
        <w:rPr>
          <w:rFonts w:ascii="Arial" w:hAnsi="Arial" w:cs="Arial"/>
          <w:noProof/>
        </w:rPr>
        <w:tab/>
      </w:r>
      <w:r w:rsidRPr="00C50634">
        <w:rPr>
          <w:rFonts w:ascii="Arial" w:hAnsi="Arial" w:cs="Arial"/>
        </w:rPr>
        <w:t>Currently there are no plans to borrow in 201</w:t>
      </w:r>
      <w:r>
        <w:rPr>
          <w:rFonts w:ascii="Arial" w:hAnsi="Arial" w:cs="Arial"/>
        </w:rPr>
        <w:t>6</w:t>
      </w:r>
      <w:r w:rsidR="0062597D">
        <w:rPr>
          <w:rFonts w:ascii="Arial" w:hAnsi="Arial" w:cs="Arial"/>
        </w:rPr>
        <w:t>/17</w:t>
      </w:r>
      <w:r w:rsidRPr="00C50634">
        <w:rPr>
          <w:rFonts w:ascii="Arial" w:hAnsi="Arial" w:cs="Arial"/>
        </w:rPr>
        <w:t>. I</w:t>
      </w:r>
      <w:r>
        <w:rPr>
          <w:rFonts w:ascii="Arial" w:hAnsi="Arial" w:cs="Arial"/>
        </w:rPr>
        <w:t xml:space="preserve">n the event that borrowing </w:t>
      </w:r>
      <w:r w:rsidRPr="00C50634">
        <w:rPr>
          <w:rFonts w:ascii="Arial" w:hAnsi="Arial" w:cs="Arial"/>
        </w:rPr>
        <w:t>become</w:t>
      </w:r>
      <w:r>
        <w:rPr>
          <w:rFonts w:ascii="Arial" w:hAnsi="Arial" w:cs="Arial"/>
        </w:rPr>
        <w:t>s</w:t>
      </w:r>
      <w:r w:rsidRPr="00C50634">
        <w:rPr>
          <w:rFonts w:ascii="Arial" w:hAnsi="Arial" w:cs="Arial"/>
        </w:rPr>
        <w:t xml:space="preserve"> necessary to meet the approved commitments of the Capital Programme, further reports will be made to Members and necessary amendments to this Strategy made.</w:t>
      </w:r>
    </w:p>
    <w:p w:rsidR="00D6535E" w:rsidRPr="00787FCE" w:rsidRDefault="00D6535E" w:rsidP="00D6535E">
      <w:pPr>
        <w:ind w:left="720" w:hanging="720"/>
        <w:rPr>
          <w:rFonts w:ascii="Arial" w:hAnsi="Arial" w:cs="Arial"/>
          <w:noProof/>
        </w:rPr>
      </w:pPr>
    </w:p>
    <w:p w:rsidR="00D6535E" w:rsidRPr="00787FCE" w:rsidRDefault="00D6535E" w:rsidP="00D6535E">
      <w:pPr>
        <w:numPr>
          <w:ilvl w:val="12"/>
          <w:numId w:val="0"/>
        </w:numPr>
        <w:spacing w:before="90"/>
        <w:ind w:left="720" w:hanging="720"/>
        <w:jc w:val="both"/>
        <w:rPr>
          <w:rFonts w:ascii="Arial" w:hAnsi="Arial" w:cs="Arial"/>
          <w:noProof/>
          <w:color w:val="000000" w:themeColor="text1"/>
        </w:rPr>
      </w:pPr>
      <w:r>
        <w:rPr>
          <w:rFonts w:ascii="Arial" w:hAnsi="Arial" w:cs="Arial"/>
          <w:noProof/>
          <w:color w:val="000000" w:themeColor="text1"/>
        </w:rPr>
        <w:t>20</w:t>
      </w:r>
      <w:r w:rsidRPr="00787FCE">
        <w:rPr>
          <w:rFonts w:ascii="Arial" w:hAnsi="Arial" w:cs="Arial"/>
          <w:noProof/>
          <w:color w:val="000000" w:themeColor="text1"/>
        </w:rPr>
        <w:t>.</w:t>
      </w:r>
      <w:r w:rsidRPr="00787FCE">
        <w:rPr>
          <w:rFonts w:ascii="Arial" w:hAnsi="Arial" w:cs="Arial"/>
          <w:noProof/>
          <w:color w:val="000000" w:themeColor="text1"/>
        </w:rPr>
        <w:tab/>
      </w:r>
      <w:r>
        <w:rPr>
          <w:rFonts w:ascii="Arial" w:hAnsi="Arial" w:cs="Arial"/>
          <w:noProof/>
          <w:color w:val="000000" w:themeColor="text1"/>
        </w:rPr>
        <w:t>In the event that borrowing is required t</w:t>
      </w:r>
      <w:r w:rsidRPr="00787FCE">
        <w:rPr>
          <w:rFonts w:ascii="Arial" w:hAnsi="Arial" w:cs="Arial"/>
          <w:noProof/>
          <w:color w:val="000000" w:themeColor="text1"/>
        </w:rPr>
        <w:t xml:space="preserve">he </w:t>
      </w:r>
      <w:r>
        <w:rPr>
          <w:rFonts w:ascii="Arial" w:hAnsi="Arial" w:cs="Arial"/>
          <w:noProof/>
          <w:color w:val="000000" w:themeColor="text1"/>
        </w:rPr>
        <w:t>Section 151 Officer</w:t>
      </w:r>
      <w:r w:rsidRPr="00787FCE">
        <w:rPr>
          <w:rFonts w:ascii="Arial" w:hAnsi="Arial" w:cs="Arial"/>
          <w:noProof/>
          <w:color w:val="000000" w:themeColor="text1"/>
        </w:rPr>
        <w:t xml:space="preserve"> will monitor  interest rates in financial markets and adopt a pragmatic app</w:t>
      </w:r>
      <w:r>
        <w:rPr>
          <w:rFonts w:ascii="Arial" w:hAnsi="Arial" w:cs="Arial"/>
          <w:noProof/>
          <w:color w:val="000000" w:themeColor="text1"/>
        </w:rPr>
        <w:t>roach to changing circumstances.</w:t>
      </w:r>
    </w:p>
    <w:p w:rsidR="00D6535E" w:rsidRPr="00787FCE" w:rsidRDefault="00D6535E" w:rsidP="00D6535E">
      <w:pPr>
        <w:spacing w:before="90"/>
        <w:ind w:left="720" w:hanging="720"/>
        <w:jc w:val="both"/>
        <w:rPr>
          <w:rFonts w:ascii="Arial" w:hAnsi="Arial" w:cs="Arial"/>
          <w:noProof/>
          <w:color w:val="000000" w:themeColor="text1"/>
        </w:rPr>
      </w:pPr>
      <w:r>
        <w:rPr>
          <w:rFonts w:ascii="Arial" w:hAnsi="Arial" w:cs="Arial"/>
          <w:noProof/>
          <w:color w:val="000000" w:themeColor="text1"/>
        </w:rPr>
        <w:t>21</w:t>
      </w:r>
      <w:r w:rsidRPr="00787FCE">
        <w:rPr>
          <w:rFonts w:ascii="Arial" w:hAnsi="Arial" w:cs="Arial"/>
          <w:noProof/>
          <w:color w:val="000000" w:themeColor="text1"/>
        </w:rPr>
        <w:t>.</w:t>
      </w:r>
      <w:r w:rsidRPr="00787FCE">
        <w:rPr>
          <w:rFonts w:ascii="Arial" w:hAnsi="Arial" w:cs="Arial"/>
          <w:noProof/>
          <w:color w:val="000000" w:themeColor="text1"/>
        </w:rPr>
        <w:tab/>
        <w:t xml:space="preserve">Any decisions will be reported to </w:t>
      </w:r>
      <w:r>
        <w:rPr>
          <w:rFonts w:ascii="Arial" w:hAnsi="Arial" w:cs="Arial"/>
          <w:noProof/>
          <w:color w:val="000000" w:themeColor="text1"/>
        </w:rPr>
        <w:t>the Audit</w:t>
      </w:r>
      <w:r w:rsidR="00624BF7">
        <w:rPr>
          <w:rFonts w:ascii="Arial" w:hAnsi="Arial" w:cs="Arial"/>
          <w:noProof/>
          <w:color w:val="000000" w:themeColor="text1"/>
        </w:rPr>
        <w:t xml:space="preserve"> Committee.</w:t>
      </w:r>
    </w:p>
    <w:p w:rsidR="00D6535E" w:rsidRPr="00F3704E" w:rsidRDefault="00D6535E" w:rsidP="00D6535E">
      <w:pPr>
        <w:spacing w:before="45" w:after="45"/>
        <w:jc w:val="both"/>
        <w:rPr>
          <w:rFonts w:cs="Arial"/>
          <w:noProof/>
          <w:color w:val="4F81BD" w:themeColor="accent1"/>
          <w:spacing w:val="-5"/>
          <w:sz w:val="22"/>
          <w:szCs w:val="22"/>
        </w:rPr>
      </w:pPr>
    </w:p>
    <w:p w:rsidR="00D6535E" w:rsidRPr="00A91F14" w:rsidRDefault="00D6535E" w:rsidP="00D6535E">
      <w:pPr>
        <w:rPr>
          <w:rFonts w:ascii="Arial" w:hAnsi="Arial" w:cs="Arial"/>
          <w:b/>
          <w:bCs/>
          <w:color w:val="000000" w:themeColor="text1"/>
        </w:rPr>
      </w:pPr>
      <w:r w:rsidRPr="00A91F14">
        <w:rPr>
          <w:rFonts w:ascii="Arial" w:hAnsi="Arial" w:cs="Arial"/>
          <w:b/>
          <w:bCs/>
          <w:color w:val="000000" w:themeColor="text1"/>
        </w:rPr>
        <w:t xml:space="preserve">Policy on borrowing in advance of need </w:t>
      </w:r>
    </w:p>
    <w:p w:rsidR="00D6535E" w:rsidRPr="00F3704E" w:rsidRDefault="00D6535E" w:rsidP="00D6535E">
      <w:pPr>
        <w:rPr>
          <w:rFonts w:ascii="Arial" w:hAnsi="Arial" w:cs="Arial"/>
          <w:b/>
          <w:bCs/>
          <w:color w:val="4F81BD" w:themeColor="accent1"/>
        </w:rPr>
      </w:pPr>
    </w:p>
    <w:p w:rsidR="00D6535E" w:rsidRPr="00F3704E" w:rsidRDefault="00D6535E" w:rsidP="00D6535E">
      <w:pPr>
        <w:autoSpaceDE w:val="0"/>
        <w:autoSpaceDN w:val="0"/>
        <w:adjustRightInd w:val="0"/>
        <w:ind w:left="720" w:hanging="720"/>
        <w:jc w:val="both"/>
        <w:rPr>
          <w:rFonts w:ascii="Arial" w:hAnsi="Arial" w:cs="Arial"/>
          <w:strike/>
          <w:color w:val="4F81BD" w:themeColor="accent1"/>
        </w:rPr>
      </w:pPr>
      <w:r>
        <w:rPr>
          <w:rFonts w:ascii="Arial" w:hAnsi="Arial" w:cs="Arial"/>
          <w:noProof/>
          <w:color w:val="000000" w:themeColor="text1"/>
        </w:rPr>
        <w:t>22</w:t>
      </w:r>
      <w:r w:rsidRPr="00A91F14">
        <w:rPr>
          <w:rFonts w:ascii="Arial" w:hAnsi="Arial" w:cs="Arial"/>
          <w:noProof/>
          <w:color w:val="000000" w:themeColor="text1"/>
        </w:rPr>
        <w:t>.</w:t>
      </w:r>
      <w:r w:rsidRPr="00A91F14">
        <w:rPr>
          <w:rFonts w:ascii="Arial" w:hAnsi="Arial" w:cs="Arial"/>
          <w:noProof/>
          <w:color w:val="000000" w:themeColor="text1"/>
        </w:rPr>
        <w:tab/>
        <w:t xml:space="preserve">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w:t>
      </w:r>
      <w:r w:rsidRPr="00A91F14">
        <w:rPr>
          <w:rFonts w:ascii="Arial" w:hAnsi="Arial" w:cs="Arial"/>
          <w:color w:val="000000" w:themeColor="text1"/>
        </w:rPr>
        <w:t xml:space="preserve">Risks associated with any borrowing in advance activity will be subject to prior appraisal and subsequent reporting through the mid-year or annual reporting mechanism. </w:t>
      </w:r>
      <w:r w:rsidRPr="00F3704E">
        <w:rPr>
          <w:rFonts w:ascii="Arial" w:hAnsi="Arial" w:cs="Arial"/>
          <w:color w:val="4F81BD" w:themeColor="accent1"/>
        </w:rPr>
        <w:br w:type="page"/>
      </w:r>
    </w:p>
    <w:p w:rsidR="00D6535E" w:rsidRPr="001E04D1" w:rsidRDefault="00D6535E" w:rsidP="00D6535E">
      <w:pPr>
        <w:tabs>
          <w:tab w:val="left" w:pos="6315"/>
        </w:tabs>
        <w:ind w:left="720" w:hanging="720"/>
        <w:jc w:val="right"/>
        <w:rPr>
          <w:rFonts w:ascii="Arial" w:hAnsi="Arial" w:cs="Arial"/>
          <w:b/>
          <w:bCs/>
          <w:noProof/>
        </w:rPr>
      </w:pPr>
      <w:r w:rsidRPr="00F3704E">
        <w:rPr>
          <w:rFonts w:ascii="Arial" w:hAnsi="Arial" w:cs="Arial"/>
          <w:color w:val="4F81BD" w:themeColor="accent1"/>
        </w:rPr>
        <w:lastRenderedPageBreak/>
        <w:tab/>
      </w:r>
      <w:r w:rsidRPr="00F3704E">
        <w:rPr>
          <w:rFonts w:ascii="Arial" w:hAnsi="Arial" w:cs="Arial"/>
          <w:color w:val="4F81BD" w:themeColor="accent1"/>
        </w:rPr>
        <w:tab/>
      </w:r>
      <w:r w:rsidRPr="00F3704E">
        <w:rPr>
          <w:rFonts w:ascii="Arial" w:hAnsi="Arial" w:cs="Arial"/>
          <w:color w:val="4F81BD" w:themeColor="accent1"/>
        </w:rPr>
        <w:tab/>
      </w:r>
      <w:r w:rsidRPr="00F3704E">
        <w:rPr>
          <w:rFonts w:ascii="Arial" w:hAnsi="Arial" w:cs="Arial"/>
          <w:color w:val="4F81BD" w:themeColor="accent1"/>
        </w:rPr>
        <w:tab/>
      </w:r>
      <w:r w:rsidRPr="001E04D1">
        <w:rPr>
          <w:rFonts w:ascii="Arial" w:hAnsi="Arial" w:cs="Arial"/>
          <w:b/>
          <w:bCs/>
          <w:noProof/>
        </w:rPr>
        <w:t>Appendix B</w:t>
      </w:r>
    </w:p>
    <w:p w:rsidR="00D6535E" w:rsidRPr="00A91F14" w:rsidRDefault="00D6535E" w:rsidP="00D6535E">
      <w:pPr>
        <w:numPr>
          <w:ilvl w:val="12"/>
          <w:numId w:val="0"/>
        </w:numPr>
        <w:rPr>
          <w:rFonts w:ascii="Arial" w:hAnsi="Arial" w:cs="Arial"/>
          <w:b/>
          <w:bCs/>
          <w:noProof/>
        </w:rPr>
      </w:pPr>
      <w:r w:rsidRPr="00A91F14">
        <w:rPr>
          <w:rFonts w:ascii="Arial" w:hAnsi="Arial" w:cs="Arial"/>
          <w:b/>
          <w:bCs/>
          <w:noProof/>
        </w:rPr>
        <w:t>Annual Investment Strategy</w:t>
      </w:r>
    </w:p>
    <w:p w:rsidR="00D6535E" w:rsidRPr="00A91F14" w:rsidRDefault="00D6535E" w:rsidP="00D6535E">
      <w:pPr>
        <w:numPr>
          <w:ilvl w:val="12"/>
          <w:numId w:val="0"/>
        </w:numPr>
        <w:jc w:val="both"/>
        <w:rPr>
          <w:rFonts w:ascii="Arial" w:hAnsi="Arial" w:cs="Arial"/>
          <w:b/>
          <w:bCs/>
          <w:noProof/>
        </w:rPr>
      </w:pPr>
    </w:p>
    <w:p w:rsidR="00D6535E" w:rsidRPr="00A91F14" w:rsidRDefault="00D6535E" w:rsidP="00D6535E">
      <w:pPr>
        <w:numPr>
          <w:ilvl w:val="12"/>
          <w:numId w:val="0"/>
        </w:numPr>
        <w:jc w:val="both"/>
        <w:rPr>
          <w:rFonts w:ascii="Arial" w:hAnsi="Arial" w:cs="Arial"/>
          <w:b/>
          <w:bCs/>
          <w:noProof/>
        </w:rPr>
      </w:pPr>
      <w:r w:rsidRPr="00A91F14">
        <w:rPr>
          <w:rFonts w:ascii="Arial" w:hAnsi="Arial" w:cs="Arial"/>
          <w:b/>
          <w:bCs/>
          <w:noProof/>
        </w:rPr>
        <w:t>Investment Policy</w:t>
      </w:r>
    </w:p>
    <w:p w:rsidR="00D6535E" w:rsidRPr="00A91F14" w:rsidRDefault="00D6535E" w:rsidP="00D6535E">
      <w:pPr>
        <w:numPr>
          <w:ilvl w:val="12"/>
          <w:numId w:val="0"/>
        </w:numPr>
        <w:jc w:val="both"/>
        <w:rPr>
          <w:rFonts w:ascii="Arial" w:hAnsi="Arial" w:cs="Arial"/>
          <w:b/>
          <w:bCs/>
          <w:noProof/>
        </w:rPr>
      </w:pPr>
    </w:p>
    <w:p w:rsidR="00D6535E" w:rsidRPr="00732C0B" w:rsidRDefault="00D6535E" w:rsidP="00D6535E">
      <w:pPr>
        <w:tabs>
          <w:tab w:val="left" w:pos="360"/>
        </w:tabs>
        <w:ind w:left="720" w:hanging="720"/>
        <w:jc w:val="both"/>
        <w:rPr>
          <w:rFonts w:ascii="Arial" w:hAnsi="Arial" w:cs="Arial"/>
          <w:noProof/>
        </w:rPr>
      </w:pPr>
      <w:r w:rsidRPr="00A91F14">
        <w:rPr>
          <w:rFonts w:ascii="Arial" w:hAnsi="Arial" w:cs="Arial"/>
          <w:noProof/>
        </w:rPr>
        <w:t>1.</w:t>
      </w:r>
      <w:r w:rsidRPr="00A91F14">
        <w:rPr>
          <w:rFonts w:ascii="Arial" w:hAnsi="Arial" w:cs="Arial"/>
          <w:noProof/>
        </w:rPr>
        <w:tab/>
      </w:r>
      <w:r w:rsidRPr="00A91F14">
        <w:rPr>
          <w:rFonts w:ascii="Arial" w:hAnsi="Arial" w:cs="Arial"/>
          <w:noProof/>
        </w:rPr>
        <w:tab/>
        <w:t xml:space="preserve">The Council’s investment policy has regard to the CLG’s Guidance on Local Government Investments (“the Guidance”) and the 2011 revised CIPFA Treasury Management in Public Services Code of Practice and Cross Sectoral Guidance Notes (“the CIPFA TM Code”).  The Council’s investment </w:t>
      </w:r>
      <w:r w:rsidRPr="00732C0B">
        <w:rPr>
          <w:rFonts w:ascii="Arial" w:hAnsi="Arial" w:cs="Arial"/>
          <w:noProof/>
        </w:rPr>
        <w:t>priorities will be security first, liquidity second and  then return.</w:t>
      </w:r>
    </w:p>
    <w:p w:rsidR="00D6535E" w:rsidRPr="000D7297" w:rsidRDefault="00D6535E" w:rsidP="00D6535E">
      <w:pPr>
        <w:ind w:left="720" w:hanging="720"/>
        <w:jc w:val="both"/>
        <w:rPr>
          <w:rFonts w:ascii="Arial" w:hAnsi="Arial" w:cs="Arial"/>
          <w:noProof/>
        </w:rPr>
      </w:pPr>
    </w:p>
    <w:p w:rsidR="00D6535E" w:rsidRPr="000D7297" w:rsidRDefault="00D6535E" w:rsidP="00D6535E">
      <w:pPr>
        <w:pStyle w:val="NoSpacing"/>
        <w:ind w:left="720" w:hanging="720"/>
        <w:jc w:val="both"/>
        <w:rPr>
          <w:rFonts w:ascii="Arial" w:hAnsi="Arial" w:cs="Arial"/>
          <w:noProof/>
        </w:rPr>
      </w:pPr>
      <w:r w:rsidRPr="000D7297">
        <w:rPr>
          <w:rFonts w:ascii="Arial" w:hAnsi="Arial" w:cs="Arial"/>
          <w:noProof/>
        </w:rPr>
        <w:t>2</w:t>
      </w:r>
      <w:r w:rsidRPr="000D7297">
        <w:rPr>
          <w:rFonts w:ascii="Arial" w:hAnsi="Arial" w:cs="Arial"/>
          <w:noProof/>
        </w:rPr>
        <w:tab/>
        <w:t>In accordance with the above guidance from the CLG and CIPFA, and in order to minimise the risk to investments, the Council applies minimum acceptable credit criteria in order to generate a list of highly creditworthy counterparties which also enables diversification and thus avoidance of concentration risk.</w:t>
      </w:r>
    </w:p>
    <w:p w:rsidR="00D6535E" w:rsidRPr="000D7297" w:rsidRDefault="00D6535E" w:rsidP="00D6535E">
      <w:pPr>
        <w:pStyle w:val="NoSpacing"/>
        <w:ind w:left="720" w:hanging="720"/>
        <w:jc w:val="both"/>
        <w:rPr>
          <w:rFonts w:ascii="Arial" w:hAnsi="Arial" w:cs="Arial"/>
          <w:noProof/>
        </w:rPr>
      </w:pPr>
    </w:p>
    <w:p w:rsidR="00D6535E" w:rsidRPr="00732C0B" w:rsidRDefault="00D6535E" w:rsidP="00D6535E">
      <w:pPr>
        <w:ind w:left="720" w:hanging="720"/>
        <w:jc w:val="both"/>
        <w:rPr>
          <w:rFonts w:ascii="Arial" w:hAnsi="Arial" w:cs="Arial"/>
          <w:noProof/>
        </w:rPr>
      </w:pPr>
      <w:r w:rsidRPr="00732C0B">
        <w:rPr>
          <w:rFonts w:ascii="Arial" w:hAnsi="Arial" w:cs="Arial"/>
          <w:noProof/>
        </w:rPr>
        <w:t>3.</w:t>
      </w:r>
      <w:r w:rsidRPr="00732C0B">
        <w:rPr>
          <w:rFonts w:ascii="Arial" w:hAnsi="Arial" w:cs="Arial"/>
          <w:noProof/>
        </w:rPr>
        <w:tab/>
        <w:t xml:space="preserve">Continuing regulatory changes in the banking sector are designed to see greater stability, lower risk and the removal of expectations of Government financial support should an institution fail. This withdrawal of implied sovereign support is anticipated to have an effect on ratings applied to institutions.  This will result in the key ratings used to monitor counterparties being the Short Term and Long Term ratings only. Viability, Financial Strength and Support Ratings previously applied will effectively become redundant. This change does not reflect deterioration in the credit environment but rather a change of method in response to regulatory changes.  </w:t>
      </w:r>
    </w:p>
    <w:p w:rsidR="00D6535E" w:rsidRPr="00732C0B" w:rsidRDefault="00D6535E" w:rsidP="00D6535E">
      <w:pPr>
        <w:ind w:left="720" w:hanging="720"/>
        <w:jc w:val="both"/>
        <w:rPr>
          <w:rFonts w:ascii="Arial" w:hAnsi="Arial" w:cs="Arial"/>
          <w:noProof/>
          <w:color w:val="4F81BD" w:themeColor="accent1"/>
        </w:rPr>
      </w:pPr>
    </w:p>
    <w:p w:rsidR="00D6535E" w:rsidRPr="00732C0B" w:rsidRDefault="00D6535E" w:rsidP="00D6535E">
      <w:pPr>
        <w:ind w:left="720" w:hanging="720"/>
        <w:jc w:val="both"/>
        <w:rPr>
          <w:rFonts w:ascii="Arial" w:hAnsi="Arial" w:cs="Arial"/>
          <w:noProof/>
        </w:rPr>
      </w:pPr>
      <w:r w:rsidRPr="00732C0B">
        <w:rPr>
          <w:rFonts w:ascii="Arial" w:hAnsi="Arial" w:cs="Arial"/>
          <w:noProof/>
        </w:rPr>
        <w:t>4.</w:t>
      </w:r>
      <w:r w:rsidRPr="00732C0B">
        <w:rPr>
          <w:rFonts w:ascii="Arial" w:hAnsi="Arial" w:cs="Arial"/>
          <w:noProof/>
        </w:rPr>
        <w:tab/>
        <w:t>As with previous practice, ratings will not be the sole determinant of the quality of an institution and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this end the Council will engage with its advisors to maintain a monitor on market pricing such as “credit default swaps” and overlay that information on top of the credit ratings. Using the Capita Asset</w:t>
      </w:r>
      <w:r>
        <w:rPr>
          <w:rFonts w:ascii="Arial" w:hAnsi="Arial" w:cs="Arial"/>
          <w:noProof/>
        </w:rPr>
        <w:t xml:space="preserve"> Services</w:t>
      </w:r>
      <w:r w:rsidRPr="00732C0B">
        <w:rPr>
          <w:rFonts w:ascii="Arial" w:hAnsi="Arial" w:cs="Arial"/>
          <w:noProof/>
        </w:rPr>
        <w:t xml:space="preserve"> ratings service</w:t>
      </w:r>
      <w:r>
        <w:rPr>
          <w:rFonts w:ascii="Arial" w:hAnsi="Arial" w:cs="Arial"/>
          <w:noProof/>
        </w:rPr>
        <w:t>,</w:t>
      </w:r>
      <w:r w:rsidRPr="00732C0B">
        <w:rPr>
          <w:rFonts w:ascii="Arial" w:hAnsi="Arial" w:cs="Arial"/>
          <w:noProof/>
        </w:rPr>
        <w:t xml:space="preserve"> potential counterparty ratings are monitored on a real time basis with any changes notified electronically</w:t>
      </w:r>
      <w:r>
        <w:rPr>
          <w:rFonts w:ascii="Arial" w:hAnsi="Arial" w:cs="Arial"/>
          <w:noProof/>
        </w:rPr>
        <w:t xml:space="preserve"> to the Council</w:t>
      </w:r>
      <w:r w:rsidRPr="00732C0B">
        <w:rPr>
          <w:rFonts w:ascii="Arial" w:hAnsi="Arial" w:cs="Arial"/>
          <w:noProof/>
        </w:rPr>
        <w:t xml:space="preserve"> as </w:t>
      </w:r>
      <w:r>
        <w:rPr>
          <w:rFonts w:ascii="Arial" w:hAnsi="Arial" w:cs="Arial"/>
          <w:noProof/>
        </w:rPr>
        <w:t xml:space="preserve">soon as </w:t>
      </w:r>
      <w:r w:rsidRPr="00732C0B">
        <w:rPr>
          <w:rFonts w:ascii="Arial" w:hAnsi="Arial" w:cs="Arial"/>
          <w:noProof/>
        </w:rPr>
        <w:t xml:space="preserve">the </w:t>
      </w:r>
      <w:r>
        <w:rPr>
          <w:rFonts w:ascii="Arial" w:hAnsi="Arial" w:cs="Arial"/>
          <w:noProof/>
        </w:rPr>
        <w:t xml:space="preserve">rating </w:t>
      </w:r>
      <w:r w:rsidRPr="00732C0B">
        <w:rPr>
          <w:rFonts w:ascii="Arial" w:hAnsi="Arial" w:cs="Arial"/>
          <w:noProof/>
        </w:rPr>
        <w:t xml:space="preserve">agencies </w:t>
      </w:r>
      <w:r>
        <w:rPr>
          <w:rFonts w:ascii="Arial" w:hAnsi="Arial" w:cs="Arial"/>
          <w:noProof/>
        </w:rPr>
        <w:t>make any amendments</w:t>
      </w:r>
      <w:r w:rsidRPr="00732C0B">
        <w:rPr>
          <w:rFonts w:ascii="Arial" w:hAnsi="Arial" w:cs="Arial"/>
          <w:noProof/>
        </w:rPr>
        <w:t>.</w:t>
      </w:r>
    </w:p>
    <w:p w:rsidR="00D6535E" w:rsidRPr="00732C0B" w:rsidRDefault="00D6535E" w:rsidP="00D6535E">
      <w:pPr>
        <w:ind w:left="720" w:hanging="720"/>
        <w:jc w:val="both"/>
        <w:rPr>
          <w:rFonts w:ascii="Arial" w:hAnsi="Arial" w:cs="Arial"/>
          <w:noProof/>
        </w:rPr>
      </w:pPr>
    </w:p>
    <w:p w:rsidR="00D6535E" w:rsidRPr="00732C0B" w:rsidRDefault="00D6535E" w:rsidP="00D6535E">
      <w:pPr>
        <w:ind w:left="720" w:hanging="720"/>
        <w:jc w:val="both"/>
        <w:rPr>
          <w:rFonts w:ascii="Arial" w:hAnsi="Arial" w:cs="Arial"/>
          <w:noProof/>
        </w:rPr>
      </w:pPr>
      <w:r w:rsidRPr="00732C0B">
        <w:rPr>
          <w:rFonts w:ascii="Arial" w:hAnsi="Arial" w:cs="Arial"/>
          <w:noProof/>
        </w:rPr>
        <w:t>5.</w:t>
      </w:r>
      <w:r w:rsidRPr="00732C0B">
        <w:rPr>
          <w:rFonts w:ascii="Arial" w:hAnsi="Arial" w:cs="Arial"/>
          <w:noProof/>
        </w:rPr>
        <w:tab/>
        <w:t>Other information sources used will include the financial press, share price</w:t>
      </w:r>
      <w:r>
        <w:rPr>
          <w:rFonts w:ascii="Arial" w:hAnsi="Arial" w:cs="Arial"/>
          <w:noProof/>
        </w:rPr>
        <w:t>s</w:t>
      </w:r>
      <w:r w:rsidRPr="00732C0B">
        <w:rPr>
          <w:rFonts w:ascii="Arial" w:hAnsi="Arial" w:cs="Arial"/>
          <w:noProof/>
        </w:rPr>
        <w:t xml:space="preserve"> and other such information pertaining to the banking sector in order to establish the most robust scrutiny process on the suitability of potential investment counterparties.</w:t>
      </w:r>
    </w:p>
    <w:p w:rsidR="00D6535E" w:rsidRPr="00732C0B" w:rsidRDefault="00D6535E" w:rsidP="00D6535E">
      <w:pPr>
        <w:jc w:val="both"/>
        <w:rPr>
          <w:rFonts w:ascii="Arial" w:hAnsi="Arial" w:cs="Arial"/>
          <w:noProof/>
        </w:rPr>
      </w:pPr>
    </w:p>
    <w:p w:rsidR="00D6535E" w:rsidRPr="00732C0B" w:rsidRDefault="00D6535E" w:rsidP="00D6535E">
      <w:pPr>
        <w:ind w:left="720"/>
        <w:jc w:val="both"/>
        <w:rPr>
          <w:rFonts w:ascii="Arial" w:hAnsi="Arial" w:cs="Arial"/>
          <w:noProof/>
        </w:rPr>
      </w:pPr>
      <w:r w:rsidRPr="00732C0B">
        <w:rPr>
          <w:rFonts w:ascii="Arial" w:hAnsi="Arial" w:cs="Arial"/>
          <w:noProof/>
        </w:rPr>
        <w:t>The aim of the strategy is to generate a list of highly creditworthy counterparties which will also enable diversification and thus avoidance of concentration risk.</w:t>
      </w:r>
    </w:p>
    <w:p w:rsidR="00D6535E" w:rsidRPr="00732C0B" w:rsidRDefault="00D6535E" w:rsidP="00D6535E">
      <w:pPr>
        <w:jc w:val="both"/>
        <w:rPr>
          <w:rFonts w:ascii="Arial" w:hAnsi="Arial" w:cs="Arial"/>
          <w:noProof/>
          <w:color w:val="4F81BD" w:themeColor="accent1"/>
        </w:rPr>
      </w:pPr>
    </w:p>
    <w:p w:rsidR="00D6535E" w:rsidRPr="00A91F14" w:rsidRDefault="00D6535E" w:rsidP="00D6535E">
      <w:pPr>
        <w:ind w:left="720" w:hanging="720"/>
        <w:jc w:val="both"/>
        <w:rPr>
          <w:rFonts w:ascii="Arial" w:hAnsi="Arial" w:cs="Arial"/>
          <w:noProof/>
        </w:rPr>
      </w:pPr>
      <w:r w:rsidRPr="00A91F14">
        <w:rPr>
          <w:rFonts w:ascii="Arial" w:hAnsi="Arial" w:cs="Arial"/>
          <w:noProof/>
        </w:rPr>
        <w:t>6.</w:t>
      </w:r>
      <w:r w:rsidRPr="00A91F14">
        <w:rPr>
          <w:rFonts w:ascii="Arial" w:hAnsi="Arial" w:cs="Arial"/>
          <w:noProof/>
        </w:rPr>
        <w:tab/>
        <w:t>The intention of the strategy is to provide security of investment and minimisation of risk.</w:t>
      </w:r>
    </w:p>
    <w:p w:rsidR="00D6535E" w:rsidRPr="00A91F14" w:rsidRDefault="00D6535E" w:rsidP="00D6535E">
      <w:pPr>
        <w:jc w:val="both"/>
        <w:rPr>
          <w:rFonts w:ascii="Arial" w:hAnsi="Arial" w:cs="Arial"/>
          <w:noProof/>
        </w:rPr>
      </w:pPr>
    </w:p>
    <w:p w:rsidR="00D6535E" w:rsidRPr="00A91F14" w:rsidRDefault="00D6535E" w:rsidP="00D6535E">
      <w:pPr>
        <w:ind w:left="720" w:hanging="720"/>
        <w:jc w:val="both"/>
        <w:rPr>
          <w:rFonts w:ascii="Arial" w:hAnsi="Arial" w:cs="Arial"/>
          <w:noProof/>
        </w:rPr>
      </w:pPr>
      <w:r w:rsidRPr="00A91F14">
        <w:rPr>
          <w:rFonts w:ascii="Arial" w:hAnsi="Arial" w:cs="Arial"/>
          <w:noProof/>
        </w:rPr>
        <w:t>7.</w:t>
      </w:r>
      <w:r w:rsidRPr="00A91F14">
        <w:rPr>
          <w:rFonts w:ascii="Arial" w:hAnsi="Arial" w:cs="Arial"/>
          <w:noProof/>
        </w:rPr>
        <w:tab/>
        <w:t xml:space="preserve">Investment instruments identified for use in the financial year are listed in </w:t>
      </w:r>
      <w:r w:rsidRPr="00BA6F33">
        <w:rPr>
          <w:rFonts w:ascii="Arial" w:hAnsi="Arial" w:cs="Arial"/>
          <w:noProof/>
          <w:color w:val="000000" w:themeColor="text1"/>
        </w:rPr>
        <w:t>Appendix 3</w:t>
      </w:r>
      <w:r>
        <w:rPr>
          <w:rFonts w:ascii="Arial" w:hAnsi="Arial" w:cs="Arial"/>
          <w:noProof/>
          <w:color w:val="4F81BD" w:themeColor="accent1"/>
        </w:rPr>
        <w:t xml:space="preserve"> </w:t>
      </w:r>
      <w:r w:rsidRPr="00A91F14">
        <w:rPr>
          <w:rFonts w:ascii="Arial" w:hAnsi="Arial" w:cs="Arial"/>
          <w:noProof/>
        </w:rPr>
        <w:t xml:space="preserve">under the ‘specified’ and ‘non-specified’ investments categories. </w:t>
      </w:r>
      <w:r w:rsidRPr="00A91F14">
        <w:rPr>
          <w:rFonts w:ascii="Arial" w:hAnsi="Arial" w:cs="Arial"/>
          <w:noProof/>
        </w:rPr>
        <w:lastRenderedPageBreak/>
        <w:t xml:space="preserve">Counterparty limits will be as set through the Council’s treasury management practices – schedules. </w:t>
      </w:r>
    </w:p>
    <w:p w:rsidR="00D6535E" w:rsidRPr="00A91F14" w:rsidRDefault="00D6535E" w:rsidP="00D6535E">
      <w:pPr>
        <w:tabs>
          <w:tab w:val="left" w:pos="0"/>
        </w:tabs>
        <w:jc w:val="both"/>
        <w:rPr>
          <w:rFonts w:ascii="Arial" w:hAnsi="Arial" w:cs="Arial"/>
          <w:noProof/>
        </w:rPr>
      </w:pPr>
    </w:p>
    <w:p w:rsidR="00D6535E" w:rsidRPr="00A91F14" w:rsidRDefault="00D6535E" w:rsidP="00D6535E">
      <w:pPr>
        <w:numPr>
          <w:ilvl w:val="12"/>
          <w:numId w:val="0"/>
        </w:numPr>
        <w:jc w:val="both"/>
        <w:rPr>
          <w:rFonts w:ascii="Arial" w:hAnsi="Arial" w:cs="Arial"/>
          <w:b/>
          <w:bCs/>
          <w:noProof/>
        </w:rPr>
      </w:pPr>
      <w:r w:rsidRPr="00A91F14">
        <w:rPr>
          <w:rFonts w:ascii="Arial" w:hAnsi="Arial" w:cs="Arial"/>
          <w:b/>
          <w:bCs/>
          <w:noProof/>
        </w:rPr>
        <w:t xml:space="preserve">Creditworthiness </w:t>
      </w:r>
      <w:r>
        <w:rPr>
          <w:rFonts w:ascii="Arial" w:hAnsi="Arial" w:cs="Arial"/>
          <w:b/>
          <w:bCs/>
          <w:noProof/>
        </w:rPr>
        <w:t>P</w:t>
      </w:r>
      <w:r w:rsidRPr="00A91F14">
        <w:rPr>
          <w:rFonts w:ascii="Arial" w:hAnsi="Arial" w:cs="Arial"/>
          <w:b/>
          <w:bCs/>
          <w:noProof/>
        </w:rPr>
        <w:t xml:space="preserve">olicy </w:t>
      </w:r>
    </w:p>
    <w:p w:rsidR="00D6535E" w:rsidRPr="00F3704E" w:rsidRDefault="00D6535E" w:rsidP="00D6535E">
      <w:pPr>
        <w:numPr>
          <w:ilvl w:val="12"/>
          <w:numId w:val="0"/>
        </w:numPr>
        <w:jc w:val="both"/>
        <w:rPr>
          <w:rFonts w:ascii="Arial" w:hAnsi="Arial" w:cs="Arial"/>
          <w:b/>
          <w:bCs/>
          <w:noProof/>
          <w:color w:val="4F81BD" w:themeColor="accent1"/>
        </w:rPr>
      </w:pPr>
    </w:p>
    <w:p w:rsidR="00D6535E" w:rsidRPr="000D7297" w:rsidRDefault="00D6535E" w:rsidP="00D6535E">
      <w:pPr>
        <w:pStyle w:val="ListParagraph"/>
        <w:numPr>
          <w:ilvl w:val="0"/>
          <w:numId w:val="41"/>
        </w:numPr>
        <w:ind w:hanging="720"/>
        <w:jc w:val="both"/>
        <w:rPr>
          <w:rFonts w:ascii="Arial" w:hAnsi="Arial" w:cs="Arial"/>
          <w:noProof/>
        </w:rPr>
      </w:pPr>
      <w:r w:rsidRPr="000D7297">
        <w:rPr>
          <w:rFonts w:ascii="Arial" w:hAnsi="Arial" w:cs="Arial"/>
          <w:noProof/>
        </w:rPr>
        <w:t xml:space="preserve">This Council applies the creditworthiness service provided by Capita Asset Services. This service employs a sophisticated modelling approach utlilising credit ratings from the three main credit rating agencies – Fitch, Moodys and Standard and Poors. The credit ratings of counterparties are supplemented with the following overlays: </w:t>
      </w:r>
    </w:p>
    <w:p w:rsidR="00D6535E" w:rsidRPr="00A91F14" w:rsidRDefault="00D6535E" w:rsidP="00D6535E">
      <w:pPr>
        <w:ind w:left="720" w:hanging="720"/>
        <w:jc w:val="both"/>
        <w:rPr>
          <w:rFonts w:ascii="Arial" w:hAnsi="Arial" w:cs="Arial"/>
          <w:noProof/>
        </w:rPr>
      </w:pPr>
    </w:p>
    <w:p w:rsidR="00D6535E" w:rsidRPr="00A91F14" w:rsidRDefault="00D6535E" w:rsidP="00D6535E">
      <w:pPr>
        <w:pStyle w:val="ListParagraph"/>
        <w:numPr>
          <w:ilvl w:val="0"/>
          <w:numId w:val="6"/>
        </w:numPr>
        <w:jc w:val="both"/>
        <w:rPr>
          <w:rFonts w:ascii="Arial" w:hAnsi="Arial" w:cs="Arial"/>
          <w:noProof/>
        </w:rPr>
      </w:pPr>
      <w:r w:rsidRPr="00A91F14">
        <w:rPr>
          <w:rFonts w:ascii="Arial" w:hAnsi="Arial" w:cs="Arial"/>
          <w:noProof/>
        </w:rPr>
        <w:t>credit watches and credit outlooks from credit rating agencies;</w:t>
      </w:r>
    </w:p>
    <w:p w:rsidR="00D6535E" w:rsidRPr="00A91F14" w:rsidRDefault="00D6535E" w:rsidP="00D6535E">
      <w:pPr>
        <w:pStyle w:val="ListParagraph"/>
        <w:numPr>
          <w:ilvl w:val="0"/>
          <w:numId w:val="6"/>
        </w:numPr>
        <w:jc w:val="both"/>
        <w:rPr>
          <w:rFonts w:ascii="Arial" w:hAnsi="Arial" w:cs="Arial"/>
          <w:noProof/>
        </w:rPr>
      </w:pPr>
      <w:r w:rsidRPr="00A91F14">
        <w:rPr>
          <w:rFonts w:ascii="Arial" w:hAnsi="Arial" w:cs="Arial"/>
          <w:noProof/>
        </w:rPr>
        <w:t>CDS spreads to give early warning of likely changes in credit ratings;</w:t>
      </w:r>
      <w:r>
        <w:rPr>
          <w:rFonts w:ascii="Arial" w:hAnsi="Arial" w:cs="Arial"/>
          <w:noProof/>
        </w:rPr>
        <w:t xml:space="preserve"> and</w:t>
      </w:r>
    </w:p>
    <w:p w:rsidR="00D6535E" w:rsidRPr="00A91F14" w:rsidRDefault="00D6535E" w:rsidP="00D6535E">
      <w:pPr>
        <w:pStyle w:val="ListParagraph"/>
        <w:numPr>
          <w:ilvl w:val="0"/>
          <w:numId w:val="6"/>
        </w:numPr>
        <w:jc w:val="both"/>
        <w:rPr>
          <w:rFonts w:ascii="Arial" w:hAnsi="Arial" w:cs="Arial"/>
          <w:noProof/>
        </w:rPr>
      </w:pPr>
      <w:r w:rsidRPr="00A91F14">
        <w:rPr>
          <w:rFonts w:ascii="Arial" w:hAnsi="Arial" w:cs="Arial"/>
          <w:noProof/>
        </w:rPr>
        <w:t>sovereign ratings to select counterparties from only the most creditworthy countries.</w:t>
      </w:r>
    </w:p>
    <w:p w:rsidR="00D6535E" w:rsidRPr="00F3704E" w:rsidRDefault="00D6535E" w:rsidP="00D6535E">
      <w:pPr>
        <w:jc w:val="both"/>
        <w:rPr>
          <w:rFonts w:ascii="Arial" w:hAnsi="Arial" w:cs="Arial"/>
          <w:noProof/>
          <w:color w:val="4F81BD" w:themeColor="accent1"/>
        </w:rPr>
      </w:pPr>
    </w:p>
    <w:p w:rsidR="00D6535E" w:rsidRPr="000942FD" w:rsidRDefault="00D6535E" w:rsidP="00D6535E">
      <w:pPr>
        <w:ind w:left="720" w:hanging="720"/>
        <w:jc w:val="both"/>
        <w:rPr>
          <w:rFonts w:ascii="Arial" w:hAnsi="Arial" w:cs="Arial"/>
          <w:noProof/>
        </w:rPr>
      </w:pPr>
      <w:r w:rsidRPr="000942FD">
        <w:rPr>
          <w:rFonts w:ascii="Arial" w:hAnsi="Arial" w:cs="Arial"/>
          <w:noProof/>
        </w:rPr>
        <w:t>9.</w:t>
      </w:r>
      <w:r w:rsidRPr="000942FD">
        <w:rPr>
          <w:rFonts w:ascii="Arial" w:hAnsi="Arial" w:cs="Arial"/>
          <w:noProof/>
        </w:rPr>
        <w:tab/>
        <w:t xml:space="preserve">This modelling approach combines credit ratings, credit watches and credit outlooks in a weighted scoring system which is then combined with an overlay of CDS spreads for which the end product is a series of colour coded bands which indicate the relative creditworthiness of counterparties. These colour codes are used by the Council to determine the duration for investments.   The Council will therefore use counterparties within the following durational bands: </w:t>
      </w:r>
    </w:p>
    <w:p w:rsidR="00D6535E" w:rsidRDefault="00D6535E" w:rsidP="00D6535E">
      <w:pPr>
        <w:ind w:left="720"/>
        <w:jc w:val="both"/>
        <w:rPr>
          <w:rFonts w:ascii="Arial" w:hAnsi="Arial" w:cs="Arial"/>
          <w:noProof/>
        </w:rPr>
      </w:pPr>
    </w:p>
    <w:p w:rsidR="00D6535E" w:rsidRDefault="00D6535E" w:rsidP="00D6535E">
      <w:pPr>
        <w:ind w:left="720"/>
        <w:jc w:val="both"/>
        <w:rPr>
          <w:rFonts w:ascii="Arial" w:hAnsi="Arial" w:cs="Arial"/>
          <w:noProof/>
        </w:rPr>
      </w:pPr>
      <w:r>
        <w:rPr>
          <w:rFonts w:ascii="Arial" w:hAnsi="Arial" w:cs="Arial"/>
          <w:noProof/>
        </w:rPr>
        <w:t>Yellow</w:t>
      </w:r>
      <w:r>
        <w:rPr>
          <w:rFonts w:ascii="Arial" w:hAnsi="Arial" w:cs="Arial"/>
          <w:noProof/>
        </w:rPr>
        <w:tab/>
      </w:r>
      <w:r>
        <w:rPr>
          <w:rFonts w:ascii="Arial" w:hAnsi="Arial" w:cs="Arial"/>
          <w:noProof/>
        </w:rPr>
        <w:tab/>
      </w:r>
      <w:r w:rsidRPr="000942FD">
        <w:rPr>
          <w:rFonts w:ascii="Arial" w:hAnsi="Arial" w:cs="Arial"/>
          <w:noProof/>
        </w:rPr>
        <w:t>5 years *</w:t>
      </w:r>
    </w:p>
    <w:p w:rsidR="00D6535E" w:rsidRDefault="00D6535E" w:rsidP="00D6535E">
      <w:pPr>
        <w:ind w:left="2160" w:hanging="1440"/>
        <w:jc w:val="both"/>
        <w:rPr>
          <w:rFonts w:ascii="Arial" w:hAnsi="Arial" w:cs="Arial"/>
          <w:noProof/>
        </w:rPr>
      </w:pPr>
      <w:r w:rsidRPr="000942FD">
        <w:rPr>
          <w:rFonts w:ascii="Arial" w:hAnsi="Arial" w:cs="Arial"/>
          <w:noProof/>
        </w:rPr>
        <w:t>Dark pink</w:t>
      </w:r>
      <w:r>
        <w:rPr>
          <w:rFonts w:ascii="Arial" w:hAnsi="Arial" w:cs="Arial"/>
          <w:noProof/>
        </w:rPr>
        <w:tab/>
      </w:r>
      <w:r w:rsidRPr="000942FD">
        <w:rPr>
          <w:rFonts w:ascii="Arial" w:hAnsi="Arial" w:cs="Arial"/>
          <w:noProof/>
        </w:rPr>
        <w:t xml:space="preserve">5 years for Enhanced money market funds (EMMFs) with a </w:t>
      </w:r>
      <w:r>
        <w:rPr>
          <w:rFonts w:ascii="Arial" w:hAnsi="Arial" w:cs="Arial"/>
          <w:noProof/>
        </w:rPr>
        <w:t xml:space="preserve">            </w:t>
      </w:r>
      <w:r w:rsidRPr="000942FD">
        <w:rPr>
          <w:rFonts w:ascii="Arial" w:hAnsi="Arial" w:cs="Arial"/>
          <w:noProof/>
        </w:rPr>
        <w:t>credit score of 1.25</w:t>
      </w:r>
    </w:p>
    <w:p w:rsidR="00D6535E" w:rsidRDefault="00D6535E" w:rsidP="00D6535E">
      <w:pPr>
        <w:ind w:left="2160" w:hanging="1440"/>
        <w:jc w:val="both"/>
        <w:rPr>
          <w:rFonts w:ascii="Arial" w:hAnsi="Arial" w:cs="Arial"/>
          <w:noProof/>
        </w:rPr>
      </w:pPr>
      <w:r w:rsidRPr="000942FD">
        <w:rPr>
          <w:rFonts w:ascii="Arial" w:hAnsi="Arial" w:cs="Arial"/>
          <w:noProof/>
        </w:rPr>
        <w:t>Light pink</w:t>
      </w:r>
      <w:r>
        <w:rPr>
          <w:rFonts w:ascii="Arial" w:hAnsi="Arial" w:cs="Arial"/>
          <w:noProof/>
        </w:rPr>
        <w:tab/>
      </w:r>
      <w:r w:rsidRPr="000942FD">
        <w:rPr>
          <w:rFonts w:ascii="Arial" w:hAnsi="Arial" w:cs="Arial"/>
          <w:noProof/>
        </w:rPr>
        <w:t>5 years for Enhanced money market funds (EMMFs) with a credit score of 1.5</w:t>
      </w:r>
    </w:p>
    <w:p w:rsidR="00D6535E" w:rsidRDefault="00D6535E" w:rsidP="00D6535E">
      <w:pPr>
        <w:ind w:left="2160" w:hanging="1440"/>
        <w:jc w:val="both"/>
        <w:rPr>
          <w:rFonts w:ascii="Arial" w:hAnsi="Arial" w:cs="Arial"/>
          <w:noProof/>
        </w:rPr>
      </w:pPr>
      <w:r w:rsidRPr="000942FD">
        <w:rPr>
          <w:rFonts w:ascii="Arial" w:hAnsi="Arial" w:cs="Arial"/>
          <w:noProof/>
        </w:rPr>
        <w:t>Purple</w:t>
      </w:r>
      <w:r>
        <w:rPr>
          <w:rFonts w:ascii="Arial" w:hAnsi="Arial" w:cs="Arial"/>
          <w:noProof/>
        </w:rPr>
        <w:tab/>
      </w:r>
      <w:r w:rsidRPr="000942FD">
        <w:rPr>
          <w:rFonts w:ascii="Arial" w:hAnsi="Arial" w:cs="Arial"/>
          <w:noProof/>
        </w:rPr>
        <w:t>2 years</w:t>
      </w:r>
    </w:p>
    <w:p w:rsidR="00D6535E" w:rsidRDefault="00D6535E" w:rsidP="00D6535E">
      <w:pPr>
        <w:ind w:left="2160" w:hanging="1440"/>
        <w:jc w:val="both"/>
        <w:rPr>
          <w:rFonts w:ascii="Arial" w:hAnsi="Arial" w:cs="Arial"/>
          <w:noProof/>
        </w:rPr>
      </w:pPr>
      <w:r w:rsidRPr="000942FD">
        <w:rPr>
          <w:rFonts w:ascii="Arial" w:hAnsi="Arial" w:cs="Arial"/>
          <w:noProof/>
        </w:rPr>
        <w:t>Blue</w:t>
      </w:r>
      <w:r>
        <w:rPr>
          <w:rFonts w:ascii="Arial" w:hAnsi="Arial" w:cs="Arial"/>
          <w:noProof/>
        </w:rPr>
        <w:tab/>
      </w:r>
      <w:r w:rsidRPr="000942FD">
        <w:rPr>
          <w:rFonts w:ascii="Arial" w:hAnsi="Arial" w:cs="Arial"/>
          <w:noProof/>
        </w:rPr>
        <w:t>1 year (only applies to nationalised or semi nationalised UK Banks)</w:t>
      </w:r>
    </w:p>
    <w:p w:rsidR="00D6535E" w:rsidRDefault="00D6535E" w:rsidP="00D6535E">
      <w:pPr>
        <w:ind w:firstLine="720"/>
        <w:jc w:val="both"/>
        <w:rPr>
          <w:rFonts w:ascii="Arial" w:hAnsi="Arial" w:cs="Arial"/>
          <w:noProof/>
        </w:rPr>
      </w:pPr>
      <w:r w:rsidRPr="000942FD">
        <w:rPr>
          <w:rFonts w:ascii="Arial" w:hAnsi="Arial" w:cs="Arial"/>
          <w:noProof/>
        </w:rPr>
        <w:t>Orange</w:t>
      </w:r>
      <w:r>
        <w:rPr>
          <w:rFonts w:ascii="Arial" w:hAnsi="Arial" w:cs="Arial"/>
          <w:noProof/>
        </w:rPr>
        <w:tab/>
      </w:r>
      <w:r w:rsidRPr="000942FD">
        <w:rPr>
          <w:rFonts w:ascii="Arial" w:hAnsi="Arial" w:cs="Arial"/>
          <w:noProof/>
        </w:rPr>
        <w:t>1 year</w:t>
      </w:r>
    </w:p>
    <w:p w:rsidR="00D6535E" w:rsidRDefault="00D6535E" w:rsidP="00D6535E">
      <w:pPr>
        <w:ind w:firstLine="720"/>
        <w:jc w:val="both"/>
        <w:rPr>
          <w:rFonts w:ascii="Arial" w:hAnsi="Arial" w:cs="Arial"/>
          <w:noProof/>
        </w:rPr>
      </w:pPr>
      <w:r w:rsidRPr="000942FD">
        <w:rPr>
          <w:rFonts w:ascii="Arial" w:hAnsi="Arial" w:cs="Arial"/>
          <w:noProof/>
        </w:rPr>
        <w:t>Red</w:t>
      </w:r>
      <w:r>
        <w:rPr>
          <w:rFonts w:ascii="Arial" w:hAnsi="Arial" w:cs="Arial"/>
          <w:noProof/>
        </w:rPr>
        <w:tab/>
      </w:r>
      <w:r>
        <w:rPr>
          <w:rFonts w:ascii="Arial" w:hAnsi="Arial" w:cs="Arial"/>
          <w:noProof/>
        </w:rPr>
        <w:tab/>
      </w:r>
      <w:r w:rsidRPr="000942FD">
        <w:rPr>
          <w:rFonts w:ascii="Arial" w:hAnsi="Arial" w:cs="Arial"/>
          <w:noProof/>
        </w:rPr>
        <w:t>6 months</w:t>
      </w:r>
    </w:p>
    <w:p w:rsidR="00D6535E" w:rsidRDefault="00D6535E" w:rsidP="00D6535E">
      <w:pPr>
        <w:ind w:left="720"/>
        <w:jc w:val="both"/>
        <w:rPr>
          <w:rFonts w:ascii="Arial" w:hAnsi="Arial" w:cs="Arial"/>
          <w:noProof/>
        </w:rPr>
      </w:pPr>
      <w:r w:rsidRPr="000942FD">
        <w:rPr>
          <w:rFonts w:ascii="Arial" w:hAnsi="Arial" w:cs="Arial"/>
          <w:noProof/>
        </w:rPr>
        <w:t>Green</w:t>
      </w:r>
      <w:r>
        <w:rPr>
          <w:rFonts w:ascii="Arial" w:hAnsi="Arial" w:cs="Arial"/>
          <w:noProof/>
        </w:rPr>
        <w:tab/>
      </w:r>
      <w:r>
        <w:rPr>
          <w:rFonts w:ascii="Arial" w:hAnsi="Arial" w:cs="Arial"/>
          <w:noProof/>
        </w:rPr>
        <w:tab/>
      </w:r>
      <w:r w:rsidRPr="000942FD">
        <w:rPr>
          <w:rFonts w:ascii="Arial" w:hAnsi="Arial" w:cs="Arial"/>
          <w:noProof/>
        </w:rPr>
        <w:t xml:space="preserve">100 days  </w:t>
      </w:r>
    </w:p>
    <w:p w:rsidR="00D6535E" w:rsidRDefault="00D6535E" w:rsidP="00D6535E">
      <w:pPr>
        <w:ind w:left="720"/>
        <w:jc w:val="both"/>
        <w:rPr>
          <w:rFonts w:ascii="Arial" w:hAnsi="Arial" w:cs="Arial"/>
          <w:noProof/>
        </w:rPr>
      </w:pPr>
      <w:r w:rsidRPr="000942FD">
        <w:rPr>
          <w:rFonts w:ascii="Arial" w:hAnsi="Arial" w:cs="Arial"/>
          <w:noProof/>
        </w:rPr>
        <w:t>No colour</w:t>
      </w:r>
      <w:r>
        <w:rPr>
          <w:rFonts w:ascii="Arial" w:hAnsi="Arial" w:cs="Arial"/>
          <w:noProof/>
        </w:rPr>
        <w:tab/>
        <w:t xml:space="preserve"> </w:t>
      </w:r>
      <w:r w:rsidRPr="000942FD">
        <w:rPr>
          <w:rFonts w:ascii="Arial" w:hAnsi="Arial" w:cs="Arial"/>
          <w:noProof/>
        </w:rPr>
        <w:t>not to be used</w:t>
      </w:r>
    </w:p>
    <w:p w:rsidR="00D6535E" w:rsidRDefault="00D6535E" w:rsidP="00D6535E">
      <w:pPr>
        <w:tabs>
          <w:tab w:val="left" w:pos="1985"/>
        </w:tabs>
        <w:rPr>
          <w:rFonts w:ascii="Arial" w:hAnsi="Arial" w:cs="Arial"/>
          <w:noProof/>
          <w:color w:val="4F81BD" w:themeColor="accent1"/>
        </w:rPr>
      </w:pPr>
      <w:r w:rsidRPr="00B928B8">
        <w:rPr>
          <w:rFonts w:cs="Arial"/>
          <w:noProof/>
          <w:sz w:val="22"/>
          <w:szCs w:val="22"/>
          <w:lang w:eastAsia="en-GB"/>
        </w:rPr>
        <w:drawing>
          <wp:anchor distT="0" distB="0" distL="114300" distR="114300" simplePos="0" relativeHeight="251659264" behindDoc="1" locked="0" layoutInCell="1" allowOverlap="1" wp14:anchorId="0A08394D" wp14:editId="788B06E7">
            <wp:simplePos x="0" y="0"/>
            <wp:positionH relativeFrom="column">
              <wp:posOffset>428625</wp:posOffset>
            </wp:positionH>
            <wp:positionV relativeFrom="paragraph">
              <wp:posOffset>207645</wp:posOffset>
            </wp:positionV>
            <wp:extent cx="5372100" cy="571500"/>
            <wp:effectExtent l="0" t="0" r="0" b="0"/>
            <wp:wrapTight wrapText="bothSides">
              <wp:wrapPolygon edited="0">
                <wp:start x="0" y="0"/>
                <wp:lineTo x="0" y="20880"/>
                <wp:lineTo x="21523" y="2088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72100" cy="571500"/>
                    </a:xfrm>
                    <a:prstGeom prst="rect">
                      <a:avLst/>
                    </a:prstGeom>
                    <a:noFill/>
                    <a:ln w="9525">
                      <a:noFill/>
                      <a:miter lim="800000"/>
                      <a:headEnd/>
                      <a:tailEnd/>
                    </a:ln>
                  </pic:spPr>
                </pic:pic>
              </a:graphicData>
            </a:graphic>
          </wp:anchor>
        </w:drawing>
      </w:r>
    </w:p>
    <w:p w:rsidR="00D6535E" w:rsidRDefault="00D6535E" w:rsidP="00D6535E">
      <w:pPr>
        <w:tabs>
          <w:tab w:val="left" w:pos="1985"/>
        </w:tabs>
        <w:rPr>
          <w:rFonts w:ascii="Arial" w:hAnsi="Arial" w:cs="Arial"/>
          <w:noProof/>
          <w:color w:val="4F81BD" w:themeColor="accent1"/>
        </w:rPr>
      </w:pPr>
    </w:p>
    <w:p w:rsidR="00D6535E" w:rsidRDefault="00D6535E" w:rsidP="00D6535E">
      <w:pPr>
        <w:tabs>
          <w:tab w:val="left" w:pos="1985"/>
        </w:tabs>
        <w:rPr>
          <w:rFonts w:ascii="Arial" w:hAnsi="Arial" w:cs="Arial"/>
          <w:noProof/>
          <w:color w:val="4F81BD" w:themeColor="accent1"/>
        </w:rPr>
      </w:pPr>
    </w:p>
    <w:p w:rsidR="00D6535E" w:rsidRDefault="00D6535E" w:rsidP="00D6535E">
      <w:pPr>
        <w:tabs>
          <w:tab w:val="left" w:pos="1985"/>
        </w:tabs>
        <w:rPr>
          <w:rFonts w:ascii="Arial" w:hAnsi="Arial" w:cs="Arial"/>
          <w:noProof/>
          <w:color w:val="4F81BD" w:themeColor="accent1"/>
        </w:rPr>
      </w:pPr>
    </w:p>
    <w:p w:rsidR="00CD4006" w:rsidRDefault="00CD4006" w:rsidP="00D6535E">
      <w:pPr>
        <w:tabs>
          <w:tab w:val="left" w:pos="1985"/>
        </w:tabs>
        <w:rPr>
          <w:rFonts w:ascii="Arial" w:hAnsi="Arial" w:cs="Arial"/>
          <w:noProof/>
          <w:color w:val="4F81BD" w:themeColor="accent1"/>
        </w:rPr>
      </w:pPr>
    </w:p>
    <w:p w:rsidR="00CD4006" w:rsidRDefault="00CD4006">
      <w:pPr>
        <w:spacing w:after="200" w:line="276" w:lineRule="auto"/>
        <w:rPr>
          <w:rFonts w:ascii="Arial" w:hAnsi="Arial" w:cs="Arial"/>
          <w:noProof/>
          <w:color w:val="4F81BD" w:themeColor="accent1"/>
        </w:rPr>
      </w:pPr>
      <w:r>
        <w:rPr>
          <w:rFonts w:ascii="Arial" w:hAnsi="Arial" w:cs="Arial"/>
          <w:noProof/>
          <w:color w:val="4F81BD" w:themeColor="accent1"/>
        </w:rPr>
        <w:br w:type="page"/>
      </w:r>
    </w:p>
    <w:p w:rsidR="00CD4006" w:rsidRDefault="00CD4006" w:rsidP="00D6535E">
      <w:pPr>
        <w:tabs>
          <w:tab w:val="left" w:pos="1985"/>
        </w:tabs>
        <w:rPr>
          <w:rFonts w:ascii="Arial" w:hAnsi="Arial" w:cs="Arial"/>
          <w:noProof/>
          <w:color w:val="4F81BD" w:themeColor="accent1"/>
        </w:rPr>
      </w:pPr>
    </w:p>
    <w:tbl>
      <w:tblPr>
        <w:tblW w:w="83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41"/>
        <w:gridCol w:w="2004"/>
        <w:gridCol w:w="1817"/>
        <w:gridCol w:w="1632"/>
      </w:tblGrid>
      <w:tr w:rsidR="00CD4006" w:rsidRPr="00CD4006" w:rsidTr="006B3A95">
        <w:trPr>
          <w:trHeight w:val="480"/>
          <w:tblCellSpacing w:w="0" w:type="dxa"/>
        </w:trPr>
        <w:tc>
          <w:tcPr>
            <w:tcW w:w="2941" w:type="dxa"/>
            <w:tcBorders>
              <w:right w:val="nil"/>
            </w:tcBorders>
            <w:shd w:val="clear" w:color="auto" w:fill="C0C0C0"/>
          </w:tcPr>
          <w:p w:rsidR="00CD4006" w:rsidRPr="005702B8" w:rsidRDefault="00CD4006" w:rsidP="00CD4006">
            <w:pPr>
              <w:pStyle w:val="BodyText2"/>
              <w:spacing w:after="120"/>
              <w:rPr>
                <w:rFonts w:ascii="Arial" w:hAnsi="Arial" w:cs="Arial"/>
                <w:b/>
                <w:iCs/>
                <w:szCs w:val="22"/>
              </w:rPr>
            </w:pPr>
            <w:r w:rsidRPr="005702B8">
              <w:rPr>
                <w:rFonts w:ascii="Arial" w:hAnsi="Arial" w:cs="Arial"/>
                <w:b/>
                <w:iCs/>
                <w:szCs w:val="22"/>
              </w:rPr>
              <w:t> </w:t>
            </w:r>
          </w:p>
        </w:tc>
        <w:tc>
          <w:tcPr>
            <w:tcW w:w="2004" w:type="dxa"/>
            <w:shd w:val="clear" w:color="auto" w:fill="C0C0C0"/>
          </w:tcPr>
          <w:p w:rsidR="00CD4006" w:rsidRPr="005702B8" w:rsidRDefault="00CD4006" w:rsidP="005702B8">
            <w:pPr>
              <w:pStyle w:val="BodyText2"/>
              <w:spacing w:after="120"/>
              <w:jc w:val="center"/>
              <w:rPr>
                <w:rFonts w:ascii="Arial" w:hAnsi="Arial" w:cs="Arial"/>
                <w:b/>
                <w:iCs/>
                <w:szCs w:val="22"/>
              </w:rPr>
            </w:pPr>
            <w:r w:rsidRPr="005702B8">
              <w:rPr>
                <w:rFonts w:ascii="Arial" w:hAnsi="Arial" w:cs="Arial"/>
                <w:b/>
                <w:iCs/>
                <w:szCs w:val="22"/>
              </w:rPr>
              <w:t>Colour (and long term rating where applicable)</w:t>
            </w:r>
          </w:p>
        </w:tc>
        <w:tc>
          <w:tcPr>
            <w:tcW w:w="1817" w:type="dxa"/>
            <w:tcBorders>
              <w:left w:val="nil"/>
              <w:right w:val="nil"/>
            </w:tcBorders>
            <w:shd w:val="clear" w:color="auto" w:fill="C0C0C0"/>
          </w:tcPr>
          <w:p w:rsidR="00CD4006" w:rsidRPr="005702B8" w:rsidRDefault="005702B8" w:rsidP="005702B8">
            <w:pPr>
              <w:pStyle w:val="BodyText2"/>
              <w:spacing w:after="120"/>
              <w:jc w:val="center"/>
              <w:rPr>
                <w:rFonts w:ascii="Arial" w:hAnsi="Arial" w:cs="Arial"/>
                <w:b/>
                <w:iCs/>
                <w:szCs w:val="22"/>
              </w:rPr>
            </w:pPr>
            <w:r w:rsidRPr="005702B8">
              <w:rPr>
                <w:rFonts w:ascii="Arial" w:hAnsi="Arial" w:cs="Arial"/>
                <w:b/>
                <w:iCs/>
                <w:szCs w:val="22"/>
              </w:rPr>
              <w:t xml:space="preserve">£limit or </w:t>
            </w:r>
            <w:r w:rsidR="00CD4006" w:rsidRPr="005702B8">
              <w:rPr>
                <w:rFonts w:ascii="Arial" w:hAnsi="Arial" w:cs="Arial"/>
                <w:b/>
                <w:iCs/>
                <w:szCs w:val="22"/>
              </w:rPr>
              <w:t>%</w:t>
            </w:r>
            <w:r w:rsidRPr="005702B8">
              <w:rPr>
                <w:rFonts w:ascii="Arial" w:hAnsi="Arial" w:cs="Arial"/>
                <w:b/>
                <w:iCs/>
                <w:szCs w:val="22"/>
              </w:rPr>
              <w:t xml:space="preserve"> of Fund </w:t>
            </w:r>
            <w:r w:rsidR="00CD4006" w:rsidRPr="005702B8">
              <w:rPr>
                <w:rFonts w:ascii="Arial" w:hAnsi="Arial" w:cs="Arial"/>
                <w:b/>
                <w:iCs/>
                <w:szCs w:val="22"/>
              </w:rPr>
              <w:t>Limit</w:t>
            </w:r>
          </w:p>
        </w:tc>
        <w:tc>
          <w:tcPr>
            <w:tcW w:w="1632" w:type="dxa"/>
            <w:shd w:val="clear" w:color="auto" w:fill="C0C0C0"/>
          </w:tcPr>
          <w:p w:rsidR="00CD4006" w:rsidRPr="005702B8" w:rsidRDefault="00CD4006" w:rsidP="005702B8">
            <w:pPr>
              <w:pStyle w:val="BodyText2"/>
              <w:spacing w:after="120"/>
              <w:jc w:val="center"/>
              <w:rPr>
                <w:rFonts w:ascii="Arial" w:hAnsi="Arial" w:cs="Arial"/>
                <w:b/>
                <w:iCs/>
                <w:szCs w:val="22"/>
              </w:rPr>
            </w:pPr>
            <w:r w:rsidRPr="005702B8">
              <w:rPr>
                <w:rFonts w:ascii="Arial" w:hAnsi="Arial" w:cs="Arial"/>
                <w:b/>
                <w:iCs/>
                <w:szCs w:val="22"/>
              </w:rPr>
              <w:t>Time</w:t>
            </w:r>
          </w:p>
          <w:p w:rsidR="00CD4006" w:rsidRPr="005702B8" w:rsidRDefault="00CD4006" w:rsidP="005702B8">
            <w:pPr>
              <w:pStyle w:val="BodyText2"/>
              <w:spacing w:after="120"/>
              <w:jc w:val="center"/>
              <w:rPr>
                <w:rFonts w:ascii="Arial" w:hAnsi="Arial" w:cs="Arial"/>
                <w:b/>
                <w:iCs/>
                <w:szCs w:val="22"/>
              </w:rPr>
            </w:pPr>
            <w:r w:rsidRPr="005702B8">
              <w:rPr>
                <w:rFonts w:ascii="Arial" w:hAnsi="Arial" w:cs="Arial"/>
                <w:b/>
                <w:iCs/>
                <w:szCs w:val="22"/>
              </w:rPr>
              <w:t>Limit</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Banks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yellow</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10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5yrs</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Banks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purple</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10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 xml:space="preserve">2 </w:t>
            </w:r>
            <w:proofErr w:type="spellStart"/>
            <w:r w:rsidRPr="005702B8">
              <w:rPr>
                <w:rFonts w:ascii="Arial" w:hAnsi="Arial" w:cs="Arial"/>
                <w:iCs/>
                <w:szCs w:val="22"/>
              </w:rPr>
              <w:t>yrs</w:t>
            </w:r>
            <w:proofErr w:type="spellEnd"/>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Banks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orange</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20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 xml:space="preserve">1 </w:t>
            </w:r>
            <w:proofErr w:type="spellStart"/>
            <w:r w:rsidRPr="005702B8">
              <w:rPr>
                <w:rFonts w:ascii="Arial" w:hAnsi="Arial" w:cs="Arial"/>
                <w:iCs/>
                <w:szCs w:val="22"/>
              </w:rPr>
              <w:t>yr</w:t>
            </w:r>
            <w:proofErr w:type="spellEnd"/>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Banks – part nationalised</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blue</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30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 xml:space="preserve">1 </w:t>
            </w:r>
            <w:proofErr w:type="spellStart"/>
            <w:r w:rsidRPr="005702B8">
              <w:rPr>
                <w:rFonts w:ascii="Arial" w:hAnsi="Arial" w:cs="Arial"/>
                <w:iCs/>
                <w:szCs w:val="22"/>
              </w:rPr>
              <w:t>yr</w:t>
            </w:r>
            <w:proofErr w:type="spellEnd"/>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Banks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red</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50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 xml:space="preserve">6 </w:t>
            </w:r>
            <w:proofErr w:type="spellStart"/>
            <w:r w:rsidRPr="005702B8">
              <w:rPr>
                <w:rFonts w:ascii="Arial" w:hAnsi="Arial" w:cs="Arial"/>
                <w:iCs/>
                <w:szCs w:val="22"/>
              </w:rPr>
              <w:t>mths</w:t>
            </w:r>
            <w:proofErr w:type="spellEnd"/>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Banks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green</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50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100 days</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Banks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No colour</w:t>
            </w:r>
          </w:p>
        </w:tc>
        <w:tc>
          <w:tcPr>
            <w:tcW w:w="1817"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Not to be used</w:t>
            </w:r>
          </w:p>
        </w:tc>
        <w:tc>
          <w:tcPr>
            <w:tcW w:w="1632" w:type="dxa"/>
          </w:tcPr>
          <w:p w:rsidR="00CD4006" w:rsidRPr="005702B8" w:rsidRDefault="005702B8" w:rsidP="005702B8">
            <w:pPr>
              <w:pStyle w:val="BodyText2"/>
              <w:spacing w:after="120"/>
              <w:jc w:val="center"/>
              <w:rPr>
                <w:rFonts w:ascii="Arial" w:hAnsi="Arial" w:cs="Arial"/>
                <w:iCs/>
                <w:szCs w:val="22"/>
              </w:rPr>
            </w:pPr>
            <w:r w:rsidRPr="005702B8">
              <w:rPr>
                <w:rFonts w:ascii="Arial" w:hAnsi="Arial" w:cs="Arial"/>
                <w:iCs/>
                <w:szCs w:val="22"/>
              </w:rPr>
              <w:t>N/A</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Limit 3 category – Council’s banker (not meeting Banks 1)</w:t>
            </w:r>
          </w:p>
        </w:tc>
        <w:tc>
          <w:tcPr>
            <w:tcW w:w="2004"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Not applicable</w:t>
            </w:r>
          </w:p>
        </w:tc>
        <w:tc>
          <w:tcPr>
            <w:tcW w:w="1817" w:type="dxa"/>
            <w:tcBorders>
              <w:right w:val="nil"/>
            </w:tcBorders>
          </w:tcPr>
          <w:p w:rsidR="00CD4006" w:rsidRPr="005702B8" w:rsidRDefault="003524E0" w:rsidP="003524E0">
            <w:pPr>
              <w:pStyle w:val="BodyText2"/>
              <w:spacing w:after="120"/>
              <w:rPr>
                <w:rFonts w:ascii="Arial" w:hAnsi="Arial" w:cs="Arial"/>
                <w:iCs/>
                <w:szCs w:val="22"/>
              </w:rPr>
            </w:pPr>
            <w:r w:rsidRPr="005702B8">
              <w:rPr>
                <w:rFonts w:ascii="Arial" w:hAnsi="Arial" w:cs="Arial"/>
                <w:iCs/>
                <w:szCs w:val="22"/>
              </w:rPr>
              <w:t>unlimited</w:t>
            </w:r>
            <w:r w:rsidR="00CD4006" w:rsidRPr="005702B8">
              <w:rPr>
                <w:rFonts w:ascii="Arial" w:hAnsi="Arial" w:cs="Arial"/>
                <w:iCs/>
                <w:szCs w:val="22"/>
              </w:rPr>
              <w:t xml:space="preserve"> / </w:t>
            </w:r>
            <w:r w:rsidRPr="005702B8">
              <w:rPr>
                <w:rFonts w:ascii="Arial" w:hAnsi="Arial" w:cs="Arial"/>
                <w:iCs/>
                <w:szCs w:val="22"/>
              </w:rPr>
              <w:t>100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1 day</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Other institutions limit</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w:t>
            </w:r>
          </w:p>
        </w:tc>
        <w:tc>
          <w:tcPr>
            <w:tcW w:w="1817" w:type="dxa"/>
            <w:tcBorders>
              <w:right w:val="nil"/>
            </w:tcBorders>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£3</w:t>
            </w:r>
            <w:r w:rsidR="00CD4006" w:rsidRPr="005702B8">
              <w:rPr>
                <w:rFonts w:ascii="Arial" w:hAnsi="Arial" w:cs="Arial"/>
                <w:iCs/>
                <w:szCs w:val="22"/>
              </w:rPr>
              <w:t xml:space="preserve">m / </w:t>
            </w:r>
            <w:r w:rsidRPr="005702B8">
              <w:rPr>
                <w:rFonts w:ascii="Arial" w:hAnsi="Arial" w:cs="Arial"/>
                <w:iCs/>
                <w:szCs w:val="22"/>
              </w:rPr>
              <w:t>10</w:t>
            </w:r>
            <w:r w:rsidR="00CD4006" w:rsidRPr="005702B8">
              <w:rPr>
                <w:rFonts w:ascii="Arial" w:hAnsi="Arial" w:cs="Arial"/>
                <w:iCs/>
                <w:szCs w:val="22"/>
              </w:rPr>
              <w:t>%</w:t>
            </w:r>
          </w:p>
        </w:tc>
        <w:tc>
          <w:tcPr>
            <w:tcW w:w="1632" w:type="dxa"/>
          </w:tcPr>
          <w:p w:rsidR="00CD4006" w:rsidRPr="005702B8" w:rsidRDefault="003524E0" w:rsidP="00CD4006">
            <w:pPr>
              <w:pStyle w:val="BodyText2"/>
              <w:spacing w:after="120"/>
              <w:jc w:val="center"/>
              <w:rPr>
                <w:rFonts w:ascii="Arial" w:hAnsi="Arial" w:cs="Arial"/>
                <w:iCs/>
                <w:szCs w:val="22"/>
              </w:rPr>
            </w:pPr>
            <w:r w:rsidRPr="005702B8">
              <w:rPr>
                <w:rFonts w:ascii="Arial" w:hAnsi="Arial" w:cs="Arial"/>
                <w:iCs/>
                <w:szCs w:val="22"/>
              </w:rPr>
              <w:t>5</w:t>
            </w:r>
            <w:r w:rsidR="00CD4006" w:rsidRPr="005702B8">
              <w:rPr>
                <w:rFonts w:ascii="Arial" w:hAnsi="Arial" w:cs="Arial"/>
                <w:iCs/>
                <w:szCs w:val="22"/>
              </w:rPr>
              <w:t>yrs</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DMADF</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AAA</w:t>
            </w:r>
          </w:p>
        </w:tc>
        <w:tc>
          <w:tcPr>
            <w:tcW w:w="1817"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unlimited</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6 months</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Local authorities</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n/a</w:t>
            </w:r>
          </w:p>
        </w:tc>
        <w:tc>
          <w:tcPr>
            <w:tcW w:w="1817" w:type="dxa"/>
            <w:tcBorders>
              <w:right w:val="nil"/>
            </w:tcBorders>
          </w:tcPr>
          <w:p w:rsidR="00CD4006" w:rsidRPr="005702B8" w:rsidRDefault="000524CC" w:rsidP="00CD4006">
            <w:pPr>
              <w:pStyle w:val="BodyText2"/>
              <w:spacing w:after="120"/>
              <w:jc w:val="center"/>
              <w:rPr>
                <w:rFonts w:ascii="Arial" w:hAnsi="Arial" w:cs="Arial"/>
                <w:iCs/>
                <w:szCs w:val="22"/>
              </w:rPr>
            </w:pPr>
            <w:r w:rsidRPr="005702B8">
              <w:rPr>
                <w:rFonts w:ascii="Arial" w:hAnsi="Arial" w:cs="Arial"/>
                <w:iCs/>
                <w:szCs w:val="22"/>
              </w:rPr>
              <w:t>20</w:t>
            </w:r>
            <w:r w:rsidR="00CD4006" w:rsidRPr="005702B8">
              <w:rPr>
                <w:rFonts w:ascii="Arial" w:hAnsi="Arial" w:cs="Arial"/>
                <w:iCs/>
                <w:szCs w:val="22"/>
              </w:rPr>
              <w:t>%</w:t>
            </w:r>
          </w:p>
        </w:tc>
        <w:tc>
          <w:tcPr>
            <w:tcW w:w="1632" w:type="dxa"/>
          </w:tcPr>
          <w:p w:rsidR="00CD4006" w:rsidRPr="005702B8" w:rsidRDefault="000524CC" w:rsidP="00CD4006">
            <w:pPr>
              <w:pStyle w:val="BodyText2"/>
              <w:spacing w:after="120"/>
              <w:jc w:val="center"/>
              <w:rPr>
                <w:rFonts w:ascii="Arial" w:hAnsi="Arial" w:cs="Arial"/>
                <w:iCs/>
                <w:szCs w:val="22"/>
              </w:rPr>
            </w:pPr>
            <w:r w:rsidRPr="005702B8">
              <w:rPr>
                <w:rFonts w:ascii="Arial" w:hAnsi="Arial" w:cs="Arial"/>
                <w:iCs/>
                <w:szCs w:val="22"/>
              </w:rPr>
              <w:t>3</w:t>
            </w:r>
            <w:r w:rsidR="00CD4006" w:rsidRPr="005702B8">
              <w:rPr>
                <w:rFonts w:ascii="Arial" w:hAnsi="Arial" w:cs="Arial"/>
                <w:iCs/>
                <w:szCs w:val="22"/>
              </w:rPr>
              <w:t>yrs</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Money market funds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AAA</w:t>
            </w:r>
          </w:p>
        </w:tc>
        <w:tc>
          <w:tcPr>
            <w:tcW w:w="1817" w:type="dxa"/>
            <w:tcBorders>
              <w:right w:val="nil"/>
            </w:tcBorders>
          </w:tcPr>
          <w:p w:rsidR="00CD4006" w:rsidRPr="005702B8" w:rsidRDefault="000524CC" w:rsidP="00CD4006">
            <w:pPr>
              <w:pStyle w:val="BodyText2"/>
              <w:spacing w:after="120"/>
              <w:jc w:val="center"/>
              <w:rPr>
                <w:rFonts w:ascii="Arial" w:hAnsi="Arial" w:cs="Arial"/>
                <w:iCs/>
                <w:szCs w:val="22"/>
              </w:rPr>
            </w:pPr>
            <w:r w:rsidRPr="005702B8">
              <w:rPr>
                <w:rFonts w:ascii="Arial" w:hAnsi="Arial" w:cs="Arial"/>
                <w:iCs/>
                <w:szCs w:val="22"/>
              </w:rPr>
              <w:t>30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liquid</w:t>
            </w:r>
          </w:p>
        </w:tc>
      </w:tr>
      <w:tr w:rsidR="00CD4006" w:rsidRPr="00CD4006"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Enhanced money market funds with a credit score of 1.25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 xml:space="preserve"> Dark pink / AAA</w:t>
            </w:r>
          </w:p>
        </w:tc>
        <w:tc>
          <w:tcPr>
            <w:tcW w:w="1817" w:type="dxa"/>
            <w:tcBorders>
              <w:right w:val="nil"/>
            </w:tcBorders>
          </w:tcPr>
          <w:p w:rsidR="00CD4006" w:rsidRPr="005702B8" w:rsidRDefault="004E6CFE" w:rsidP="004E6CFE">
            <w:pPr>
              <w:pStyle w:val="BodyText2"/>
              <w:spacing w:after="120"/>
              <w:jc w:val="center"/>
              <w:rPr>
                <w:rFonts w:ascii="Arial" w:hAnsi="Arial" w:cs="Arial"/>
                <w:iCs/>
                <w:szCs w:val="22"/>
              </w:rPr>
            </w:pPr>
            <w:r w:rsidRPr="005702B8">
              <w:rPr>
                <w:rFonts w:ascii="Arial" w:hAnsi="Arial" w:cs="Arial"/>
                <w:iCs/>
                <w:szCs w:val="22"/>
              </w:rPr>
              <w:t>50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liquid</w:t>
            </w:r>
          </w:p>
        </w:tc>
      </w:tr>
      <w:tr w:rsidR="00CD4006" w:rsidRPr="00086A0F" w:rsidTr="005702B8">
        <w:trPr>
          <w:trHeight w:val="330"/>
          <w:tblCellSpacing w:w="0" w:type="dxa"/>
        </w:trPr>
        <w:tc>
          <w:tcPr>
            <w:tcW w:w="2941" w:type="dxa"/>
            <w:tcBorders>
              <w:right w:val="nil"/>
            </w:tcBorders>
          </w:tcPr>
          <w:p w:rsidR="00CD4006" w:rsidRPr="005702B8" w:rsidRDefault="00CD4006" w:rsidP="005702B8">
            <w:pPr>
              <w:pStyle w:val="BodyText2"/>
              <w:spacing w:after="120"/>
              <w:jc w:val="left"/>
              <w:rPr>
                <w:rFonts w:ascii="Arial" w:hAnsi="Arial" w:cs="Arial"/>
                <w:b/>
                <w:iCs/>
                <w:szCs w:val="22"/>
              </w:rPr>
            </w:pPr>
            <w:r w:rsidRPr="005702B8">
              <w:rPr>
                <w:rFonts w:ascii="Arial" w:hAnsi="Arial" w:cs="Arial"/>
                <w:b/>
                <w:iCs/>
                <w:szCs w:val="22"/>
              </w:rPr>
              <w:t xml:space="preserve">Enhanced money market funds with a credit score of 1.5 </w:t>
            </w:r>
          </w:p>
        </w:tc>
        <w:tc>
          <w:tcPr>
            <w:tcW w:w="2004" w:type="dxa"/>
            <w:tcBorders>
              <w:right w:val="nil"/>
            </w:tcBorders>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Light pink / AAA</w:t>
            </w:r>
          </w:p>
        </w:tc>
        <w:tc>
          <w:tcPr>
            <w:tcW w:w="1817" w:type="dxa"/>
            <w:tcBorders>
              <w:right w:val="nil"/>
            </w:tcBorders>
          </w:tcPr>
          <w:p w:rsidR="00CD4006" w:rsidRPr="005702B8" w:rsidRDefault="004E6CFE" w:rsidP="004E6CFE">
            <w:pPr>
              <w:pStyle w:val="BodyText2"/>
              <w:spacing w:after="120"/>
              <w:jc w:val="center"/>
              <w:rPr>
                <w:rFonts w:ascii="Arial" w:hAnsi="Arial" w:cs="Arial"/>
                <w:iCs/>
                <w:szCs w:val="22"/>
              </w:rPr>
            </w:pPr>
            <w:r w:rsidRPr="005702B8">
              <w:rPr>
                <w:rFonts w:ascii="Arial" w:hAnsi="Arial" w:cs="Arial"/>
                <w:iCs/>
                <w:szCs w:val="22"/>
              </w:rPr>
              <w:t>50</w:t>
            </w:r>
            <w:r w:rsidR="00CD4006" w:rsidRPr="005702B8">
              <w:rPr>
                <w:rFonts w:ascii="Arial" w:hAnsi="Arial" w:cs="Arial"/>
                <w:iCs/>
                <w:szCs w:val="22"/>
              </w:rPr>
              <w:t>%</w:t>
            </w:r>
          </w:p>
        </w:tc>
        <w:tc>
          <w:tcPr>
            <w:tcW w:w="1632" w:type="dxa"/>
          </w:tcPr>
          <w:p w:rsidR="00CD4006" w:rsidRPr="005702B8" w:rsidRDefault="00CD4006" w:rsidP="00CD4006">
            <w:pPr>
              <w:pStyle w:val="BodyText2"/>
              <w:spacing w:after="120"/>
              <w:jc w:val="center"/>
              <w:rPr>
                <w:rFonts w:ascii="Arial" w:hAnsi="Arial" w:cs="Arial"/>
                <w:iCs/>
                <w:szCs w:val="22"/>
              </w:rPr>
            </w:pPr>
            <w:r w:rsidRPr="005702B8">
              <w:rPr>
                <w:rFonts w:ascii="Arial" w:hAnsi="Arial" w:cs="Arial"/>
                <w:iCs/>
                <w:szCs w:val="22"/>
              </w:rPr>
              <w:t>liquid</w:t>
            </w:r>
          </w:p>
        </w:tc>
      </w:tr>
    </w:tbl>
    <w:p w:rsidR="00CD4006" w:rsidRDefault="00CD4006" w:rsidP="00D6535E">
      <w:pPr>
        <w:tabs>
          <w:tab w:val="left" w:pos="1985"/>
        </w:tabs>
        <w:rPr>
          <w:rFonts w:ascii="Arial" w:hAnsi="Arial" w:cs="Arial"/>
          <w:noProof/>
          <w:color w:val="4F81BD" w:themeColor="accent1"/>
        </w:rPr>
      </w:pPr>
    </w:p>
    <w:p w:rsidR="00D6535E" w:rsidRPr="00F3704E" w:rsidRDefault="00D6535E" w:rsidP="00D6535E">
      <w:pPr>
        <w:ind w:left="1080"/>
        <w:jc w:val="both"/>
        <w:rPr>
          <w:rFonts w:ascii="Arial" w:hAnsi="Arial" w:cs="Arial"/>
          <w:noProof/>
          <w:color w:val="4F81BD" w:themeColor="accent1"/>
        </w:rPr>
      </w:pPr>
    </w:p>
    <w:p w:rsidR="00D6535E" w:rsidRPr="007E1B1B" w:rsidRDefault="00D6535E" w:rsidP="00D6535E">
      <w:pPr>
        <w:numPr>
          <w:ilvl w:val="12"/>
          <w:numId w:val="0"/>
        </w:numPr>
        <w:tabs>
          <w:tab w:val="left" w:pos="0"/>
        </w:tabs>
        <w:ind w:left="720" w:hanging="720"/>
        <w:jc w:val="both"/>
        <w:rPr>
          <w:rFonts w:ascii="Arial" w:hAnsi="Arial" w:cs="Arial"/>
          <w:noProof/>
        </w:rPr>
      </w:pPr>
      <w:r w:rsidRPr="007E1B1B">
        <w:rPr>
          <w:rFonts w:ascii="Arial" w:hAnsi="Arial" w:cs="Arial"/>
          <w:noProof/>
        </w:rPr>
        <w:t>10.</w:t>
      </w:r>
      <w:r w:rsidRPr="007E1B1B">
        <w:rPr>
          <w:rFonts w:ascii="Arial" w:hAnsi="Arial" w:cs="Arial"/>
          <w:noProof/>
        </w:rPr>
        <w:tab/>
      </w:r>
      <w:r>
        <w:rPr>
          <w:rFonts w:ascii="Arial" w:hAnsi="Arial" w:cs="Arial"/>
          <w:noProof/>
        </w:rPr>
        <w:t>The</w:t>
      </w:r>
      <w:r w:rsidRPr="007E1B1B">
        <w:rPr>
          <w:rFonts w:ascii="Arial" w:hAnsi="Arial" w:cs="Arial"/>
          <w:noProof/>
        </w:rPr>
        <w:t xml:space="preserve"> creditworthiness service uses a wider array of information than just primary ratings and by using a risk weighted scoring system, does not give undue preponderance to just one agency’s ratings.</w:t>
      </w:r>
    </w:p>
    <w:p w:rsidR="00D6535E" w:rsidRPr="007E1B1B" w:rsidRDefault="00D6535E" w:rsidP="00D6535E">
      <w:pPr>
        <w:numPr>
          <w:ilvl w:val="12"/>
          <w:numId w:val="0"/>
        </w:numPr>
        <w:tabs>
          <w:tab w:val="left" w:pos="0"/>
        </w:tabs>
        <w:jc w:val="both"/>
        <w:rPr>
          <w:rFonts w:ascii="Arial" w:hAnsi="Arial" w:cs="Arial"/>
          <w:noProof/>
        </w:rPr>
      </w:pPr>
    </w:p>
    <w:p w:rsidR="00D6535E" w:rsidRPr="007E1B1B" w:rsidRDefault="00D6535E" w:rsidP="00D6535E">
      <w:pPr>
        <w:ind w:left="720"/>
        <w:jc w:val="both"/>
        <w:rPr>
          <w:rFonts w:ascii="Arial" w:hAnsi="Arial" w:cs="Arial"/>
          <w:noProof/>
        </w:rPr>
      </w:pPr>
      <w:r w:rsidRPr="007E1B1B">
        <w:rPr>
          <w:rFonts w:ascii="Arial" w:hAnsi="Arial" w:cs="Arial"/>
          <w:noProof/>
        </w:rPr>
        <w:t>Typically the minimum credit ratings criteria the Council use will be a Short Term rating (Fitch or equivalents) of F1 and a Long 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rsidR="00D6535E" w:rsidRPr="007E1B1B" w:rsidRDefault="00D6535E" w:rsidP="00D6535E">
      <w:pPr>
        <w:numPr>
          <w:ilvl w:val="12"/>
          <w:numId w:val="0"/>
        </w:numPr>
        <w:tabs>
          <w:tab w:val="left" w:pos="0"/>
        </w:tabs>
        <w:jc w:val="both"/>
        <w:rPr>
          <w:rFonts w:ascii="Arial" w:hAnsi="Arial" w:cs="Arial"/>
          <w:noProof/>
        </w:rPr>
      </w:pPr>
    </w:p>
    <w:p w:rsidR="00D6535E" w:rsidRDefault="00D6535E" w:rsidP="00D6535E">
      <w:pPr>
        <w:ind w:left="720"/>
        <w:rPr>
          <w:rFonts w:ascii="Arial" w:hAnsi="Arial" w:cs="Arial"/>
          <w:noProof/>
        </w:rPr>
      </w:pPr>
      <w:r w:rsidRPr="00D12513">
        <w:rPr>
          <w:rFonts w:ascii="Arial" w:hAnsi="Arial" w:cs="Arial"/>
          <w:noProof/>
        </w:rPr>
        <w:t>All credit ratings will be monitored on a weekly basis</w:t>
      </w:r>
      <w:r w:rsidRPr="00D12513">
        <w:rPr>
          <w:rFonts w:ascii="Arial" w:hAnsi="Arial" w:cs="Arial"/>
          <w:i/>
          <w:noProof/>
          <w:color w:val="0000FF"/>
        </w:rPr>
        <w:t>.</w:t>
      </w:r>
      <w:r w:rsidRPr="00D12513">
        <w:rPr>
          <w:rFonts w:ascii="Arial" w:hAnsi="Arial" w:cs="Arial"/>
          <w:noProof/>
        </w:rPr>
        <w:t xml:space="preserve"> The Council is alerted to changes to ratings of all three agencies through its use of Capita’s creditworthiness service. </w:t>
      </w:r>
    </w:p>
    <w:p w:rsidR="00D6535E" w:rsidRPr="00D12513" w:rsidRDefault="00D6535E" w:rsidP="00D6535E">
      <w:pPr>
        <w:ind w:left="720"/>
        <w:rPr>
          <w:rFonts w:ascii="Arial" w:hAnsi="Arial" w:cs="Arial"/>
          <w:noProof/>
        </w:rPr>
      </w:pPr>
      <w:r w:rsidRPr="00D12513">
        <w:rPr>
          <w:rFonts w:ascii="Arial" w:hAnsi="Arial" w:cs="Arial"/>
          <w:noProof/>
        </w:rPr>
        <w:tab/>
      </w:r>
    </w:p>
    <w:p w:rsidR="00D6535E" w:rsidRPr="00D12513" w:rsidRDefault="00D6535E" w:rsidP="00D6535E">
      <w:pPr>
        <w:pStyle w:val="ListParagraph"/>
        <w:numPr>
          <w:ilvl w:val="0"/>
          <w:numId w:val="30"/>
        </w:numPr>
        <w:ind w:left="1080"/>
        <w:jc w:val="both"/>
        <w:rPr>
          <w:rFonts w:ascii="Arial" w:hAnsi="Arial" w:cs="Arial"/>
          <w:noProof/>
        </w:rPr>
      </w:pPr>
      <w:r w:rsidRPr="00D12513">
        <w:rPr>
          <w:rFonts w:ascii="Arial" w:hAnsi="Arial" w:cs="Arial"/>
          <w:noProof/>
        </w:rPr>
        <w:t>if a downgrade results in the counterparty / investment scheme no longer meeting the Council’s minimum criteria, its further use as a new investmen</w:t>
      </w:r>
      <w:r>
        <w:rPr>
          <w:rFonts w:ascii="Arial" w:hAnsi="Arial" w:cs="Arial"/>
          <w:noProof/>
        </w:rPr>
        <w:t>t will be withdrawn immediately; and</w:t>
      </w:r>
    </w:p>
    <w:p w:rsidR="00D6535E" w:rsidRDefault="00D6535E" w:rsidP="00D6535E">
      <w:pPr>
        <w:pStyle w:val="ListParagraph"/>
        <w:numPr>
          <w:ilvl w:val="0"/>
          <w:numId w:val="30"/>
        </w:numPr>
        <w:ind w:left="1080"/>
        <w:jc w:val="both"/>
        <w:rPr>
          <w:rFonts w:ascii="Arial" w:hAnsi="Arial" w:cs="Arial"/>
          <w:noProof/>
        </w:rPr>
      </w:pPr>
      <w:r w:rsidRPr="00D12513">
        <w:rPr>
          <w:rFonts w:ascii="Arial" w:hAnsi="Arial" w:cs="Arial"/>
          <w:noProof/>
        </w:rPr>
        <w:t>in addition to the use of credit ratings</w:t>
      </w:r>
      <w:r>
        <w:rPr>
          <w:rFonts w:ascii="Arial" w:hAnsi="Arial" w:cs="Arial"/>
          <w:noProof/>
        </w:rPr>
        <w:t>,</w:t>
      </w:r>
      <w:r w:rsidRPr="00D12513">
        <w:rPr>
          <w:rFonts w:ascii="Arial" w:hAnsi="Arial" w:cs="Arial"/>
          <w:noProof/>
        </w:rPr>
        <w:t xml:space="preserve"> the Council will be advised of information in movements in credit default swap spreads against the iTraxx benchmark and other market data on a weekly basis. Extreme market movements may result in the downgrade of an institution or its removal from the Council’s lending list.</w:t>
      </w:r>
    </w:p>
    <w:p w:rsidR="00D6535E" w:rsidRPr="00D12513" w:rsidRDefault="00D6535E" w:rsidP="00D6535E">
      <w:pPr>
        <w:pStyle w:val="ListParagraph"/>
        <w:ind w:left="1080"/>
        <w:jc w:val="both"/>
        <w:rPr>
          <w:rFonts w:ascii="Arial" w:hAnsi="Arial" w:cs="Arial"/>
          <w:noProof/>
        </w:rPr>
      </w:pPr>
    </w:p>
    <w:p w:rsidR="00D6535E" w:rsidRPr="000D7297" w:rsidRDefault="00D6535E" w:rsidP="00D6535E">
      <w:pPr>
        <w:ind w:left="720"/>
        <w:jc w:val="both"/>
        <w:rPr>
          <w:rFonts w:ascii="Arial" w:hAnsi="Arial" w:cs="Arial"/>
        </w:rPr>
      </w:pPr>
      <w:r w:rsidRPr="000D7297">
        <w:rPr>
          <w:rFonts w:ascii="Arial" w:hAnsi="Arial" w:cs="Arial"/>
        </w:rPr>
        <w:t>Sole reliance will not be placed on the use of this external service.  In addition, this Council will also use market data and market information, information on sovereign support for banks and the credit ratings of that supporting Government.</w:t>
      </w:r>
    </w:p>
    <w:p w:rsidR="00D6535E" w:rsidRDefault="00D6535E" w:rsidP="00D6535E">
      <w:pPr>
        <w:ind w:left="720"/>
        <w:jc w:val="both"/>
        <w:rPr>
          <w:rFonts w:ascii="Arial" w:hAnsi="Arial" w:cs="Arial"/>
          <w:noProof/>
        </w:rPr>
      </w:pPr>
    </w:p>
    <w:p w:rsidR="00D6535E" w:rsidRPr="000D7297" w:rsidRDefault="00D6535E" w:rsidP="00D6535E">
      <w:pPr>
        <w:ind w:left="720"/>
        <w:jc w:val="both"/>
        <w:rPr>
          <w:rFonts w:ascii="Arial" w:hAnsi="Arial" w:cs="Arial"/>
          <w:noProof/>
        </w:rPr>
      </w:pPr>
      <w:r w:rsidRPr="000D7297">
        <w:rPr>
          <w:rFonts w:ascii="Arial" w:hAnsi="Arial" w:cs="Arial"/>
          <w:noProof/>
        </w:rPr>
        <w:t>The Capita Asset Services creditworthiness service uses a wider array of information than just primary ratings and by using a risk weighted scoring system, does not give undue preponderance to just one agency’s ratings.</w:t>
      </w:r>
    </w:p>
    <w:p w:rsidR="00D6535E" w:rsidRPr="000D7297" w:rsidRDefault="00D6535E" w:rsidP="00D6535E">
      <w:pPr>
        <w:ind w:left="720"/>
        <w:jc w:val="both"/>
        <w:rPr>
          <w:rFonts w:ascii="Arial" w:hAnsi="Arial" w:cs="Arial"/>
          <w:noProof/>
          <w:color w:val="4F81BD" w:themeColor="accent1"/>
        </w:rPr>
      </w:pPr>
    </w:p>
    <w:p w:rsidR="00D6535E" w:rsidRDefault="00D6535E" w:rsidP="00010D87">
      <w:pPr>
        <w:ind w:left="720" w:hanging="720"/>
        <w:jc w:val="both"/>
        <w:rPr>
          <w:rFonts w:ascii="Arial" w:hAnsi="Arial" w:cs="Arial"/>
          <w:noProof/>
          <w:color w:val="000000" w:themeColor="text1"/>
        </w:rPr>
      </w:pPr>
      <w:r w:rsidRPr="009E208F">
        <w:rPr>
          <w:rFonts w:ascii="Arial" w:hAnsi="Arial" w:cs="Arial"/>
          <w:noProof/>
          <w:color w:val="000000" w:themeColor="text1"/>
        </w:rPr>
        <w:t>1</w:t>
      </w:r>
      <w:r>
        <w:rPr>
          <w:rFonts w:ascii="Arial" w:hAnsi="Arial" w:cs="Arial"/>
          <w:noProof/>
          <w:color w:val="000000" w:themeColor="text1"/>
        </w:rPr>
        <w:t>1</w:t>
      </w:r>
      <w:r w:rsidRPr="009E208F">
        <w:rPr>
          <w:rFonts w:ascii="Arial" w:hAnsi="Arial" w:cs="Arial"/>
          <w:noProof/>
          <w:color w:val="000000" w:themeColor="text1"/>
        </w:rPr>
        <w:t>.</w:t>
      </w:r>
      <w:r w:rsidRPr="009E208F">
        <w:rPr>
          <w:rFonts w:ascii="Arial" w:hAnsi="Arial" w:cs="Arial"/>
          <w:noProof/>
          <w:color w:val="000000" w:themeColor="text1"/>
        </w:rPr>
        <w:tab/>
        <w:t xml:space="preserve">There may be occasions that the Council </w:t>
      </w:r>
      <w:r>
        <w:rPr>
          <w:rFonts w:ascii="Arial" w:hAnsi="Arial" w:cs="Arial"/>
          <w:noProof/>
          <w:color w:val="000000" w:themeColor="text1"/>
        </w:rPr>
        <w:t>has</w:t>
      </w:r>
      <w:r w:rsidRPr="009E208F">
        <w:rPr>
          <w:rFonts w:ascii="Arial" w:hAnsi="Arial" w:cs="Arial"/>
          <w:noProof/>
          <w:color w:val="000000" w:themeColor="text1"/>
        </w:rPr>
        <w:t xml:space="preserve"> invested in a counterparty that subsequently falls below the minimum ratings required. For fixed term deposits it is likely that the </w:t>
      </w:r>
      <w:bookmarkStart w:id="1" w:name="_GoBack"/>
      <w:r w:rsidRPr="009E208F">
        <w:rPr>
          <w:rFonts w:ascii="Arial" w:hAnsi="Arial" w:cs="Arial"/>
          <w:noProof/>
          <w:color w:val="000000" w:themeColor="text1"/>
        </w:rPr>
        <w:t>Council will allow the investment to mature and will not withdraw its funding unless there are extreme circumstances</w:t>
      </w:r>
      <w:bookmarkEnd w:id="1"/>
      <w:r w:rsidRPr="009E208F">
        <w:rPr>
          <w:rFonts w:ascii="Arial" w:hAnsi="Arial" w:cs="Arial"/>
          <w:noProof/>
          <w:color w:val="000000" w:themeColor="text1"/>
        </w:rPr>
        <w:t xml:space="preserve">. In all situations the Section 151 Officer and Executive Director of Resources will take the best course of action to protect the value of the investment based on advice received from the Council’s treasury advisors. This is a sensible and practical way to manage the Council’s investments at a difficult economic time. </w:t>
      </w:r>
    </w:p>
    <w:p w:rsidR="00010D87" w:rsidRPr="009E208F" w:rsidRDefault="00010D87" w:rsidP="00010D87">
      <w:pPr>
        <w:ind w:left="720" w:hanging="720"/>
        <w:jc w:val="both"/>
        <w:rPr>
          <w:rFonts w:ascii="Arial" w:hAnsi="Arial" w:cs="Arial"/>
          <w:noProof/>
          <w:color w:val="000000" w:themeColor="text1"/>
        </w:rPr>
      </w:pPr>
    </w:p>
    <w:p w:rsidR="00D6535E" w:rsidRPr="001E04D1" w:rsidRDefault="00D6535E" w:rsidP="00D6535E">
      <w:pPr>
        <w:numPr>
          <w:ilvl w:val="12"/>
          <w:numId w:val="0"/>
        </w:numPr>
        <w:jc w:val="both"/>
        <w:rPr>
          <w:rFonts w:ascii="Arial" w:hAnsi="Arial" w:cs="Arial"/>
          <w:b/>
          <w:bCs/>
          <w:noProof/>
        </w:rPr>
      </w:pPr>
      <w:r w:rsidRPr="001E04D1">
        <w:rPr>
          <w:rFonts w:ascii="Arial" w:hAnsi="Arial" w:cs="Arial"/>
          <w:b/>
          <w:bCs/>
          <w:noProof/>
        </w:rPr>
        <w:t>Country limits</w:t>
      </w:r>
    </w:p>
    <w:p w:rsidR="00D6535E" w:rsidRPr="00F3704E" w:rsidRDefault="00D6535E" w:rsidP="00D6535E">
      <w:pPr>
        <w:numPr>
          <w:ilvl w:val="12"/>
          <w:numId w:val="0"/>
        </w:numPr>
        <w:jc w:val="both"/>
        <w:rPr>
          <w:rFonts w:ascii="Arial" w:hAnsi="Arial" w:cs="Arial"/>
          <w:b/>
          <w:bCs/>
          <w:noProof/>
          <w:color w:val="4F81BD" w:themeColor="accent1"/>
        </w:rPr>
      </w:pPr>
    </w:p>
    <w:p w:rsidR="00D6535E" w:rsidRPr="00B33697" w:rsidRDefault="00D6535E" w:rsidP="00D6535E">
      <w:pPr>
        <w:tabs>
          <w:tab w:val="left" w:pos="360"/>
        </w:tabs>
        <w:ind w:left="720" w:hanging="720"/>
        <w:jc w:val="both"/>
        <w:rPr>
          <w:rFonts w:ascii="Arial" w:hAnsi="Arial" w:cs="Arial"/>
          <w:noProof/>
        </w:rPr>
      </w:pPr>
      <w:r w:rsidRPr="00B33697">
        <w:rPr>
          <w:rFonts w:ascii="Arial" w:hAnsi="Arial" w:cs="Arial"/>
          <w:noProof/>
        </w:rPr>
        <w:t>1</w:t>
      </w:r>
      <w:r>
        <w:rPr>
          <w:rFonts w:ascii="Arial" w:hAnsi="Arial" w:cs="Arial"/>
          <w:noProof/>
        </w:rPr>
        <w:t>2</w:t>
      </w:r>
      <w:r w:rsidRPr="00B33697">
        <w:rPr>
          <w:rFonts w:ascii="Arial" w:hAnsi="Arial" w:cs="Arial"/>
          <w:noProof/>
        </w:rPr>
        <w:t>.</w:t>
      </w:r>
      <w:r w:rsidRPr="00B33697">
        <w:rPr>
          <w:rFonts w:ascii="Arial" w:hAnsi="Arial" w:cs="Arial"/>
          <w:noProof/>
        </w:rPr>
        <w:tab/>
      </w:r>
      <w:r w:rsidRPr="00B33697">
        <w:rPr>
          <w:rFonts w:ascii="Arial" w:hAnsi="Arial" w:cs="Arial"/>
          <w:noProof/>
        </w:rPr>
        <w:tab/>
        <w:t>The Council has determined that it will only use approved counterparties from countries with a minimum sovereign credit rating of AA-</w:t>
      </w:r>
      <w:r>
        <w:rPr>
          <w:rFonts w:ascii="Arial" w:hAnsi="Arial" w:cs="Arial"/>
          <w:noProof/>
        </w:rPr>
        <w:t xml:space="preserve"> </w:t>
      </w:r>
      <w:r w:rsidRPr="00B33697">
        <w:rPr>
          <w:rFonts w:ascii="Arial" w:hAnsi="Arial" w:cs="Arial"/>
          <w:noProof/>
        </w:rPr>
        <w:t xml:space="preserve">from Fitch. The list of countries that qualify using this credit criteria as at the date of this report are shown in </w:t>
      </w:r>
      <w:r w:rsidRPr="00BA6F33">
        <w:rPr>
          <w:rFonts w:ascii="Arial" w:hAnsi="Arial" w:cs="Arial"/>
          <w:noProof/>
          <w:color w:val="000000" w:themeColor="text1"/>
        </w:rPr>
        <w:t xml:space="preserve">Appendix 4.  </w:t>
      </w:r>
      <w:r w:rsidRPr="00B33697">
        <w:rPr>
          <w:rFonts w:ascii="Arial" w:hAnsi="Arial" w:cs="Arial"/>
          <w:noProof/>
        </w:rPr>
        <w:t>This list will be added to, or deducted from, by officers should ratings change in accordance with this policy.</w:t>
      </w:r>
    </w:p>
    <w:p w:rsidR="00D6535E" w:rsidRPr="00F3704E" w:rsidRDefault="00D6535E" w:rsidP="00D6535E">
      <w:pPr>
        <w:tabs>
          <w:tab w:val="left" w:pos="360"/>
        </w:tabs>
        <w:jc w:val="both"/>
        <w:rPr>
          <w:rFonts w:ascii="Arial" w:hAnsi="Arial" w:cs="Arial"/>
          <w:noProof/>
          <w:color w:val="4F81BD" w:themeColor="accent1"/>
        </w:rPr>
      </w:pPr>
    </w:p>
    <w:p w:rsidR="00D6535E" w:rsidRPr="00B33697" w:rsidRDefault="00D6535E" w:rsidP="00D6535E">
      <w:pPr>
        <w:tabs>
          <w:tab w:val="left" w:pos="360"/>
        </w:tabs>
        <w:ind w:left="720" w:hanging="720"/>
        <w:jc w:val="both"/>
        <w:rPr>
          <w:rFonts w:ascii="Arial" w:hAnsi="Arial" w:cs="Arial"/>
          <w:noProof/>
          <w:color w:val="000000" w:themeColor="text1"/>
        </w:rPr>
      </w:pPr>
      <w:r w:rsidRPr="00B33697">
        <w:rPr>
          <w:rFonts w:ascii="Arial" w:hAnsi="Arial" w:cs="Arial"/>
          <w:noProof/>
          <w:color w:val="000000" w:themeColor="text1"/>
        </w:rPr>
        <w:t>1</w:t>
      </w:r>
      <w:r>
        <w:rPr>
          <w:rFonts w:ascii="Arial" w:hAnsi="Arial" w:cs="Arial"/>
          <w:noProof/>
          <w:color w:val="000000" w:themeColor="text1"/>
        </w:rPr>
        <w:t>3</w:t>
      </w:r>
      <w:r w:rsidRPr="00B33697">
        <w:rPr>
          <w:rFonts w:ascii="Arial" w:hAnsi="Arial" w:cs="Arial"/>
          <w:noProof/>
          <w:color w:val="000000" w:themeColor="text1"/>
        </w:rPr>
        <w:t>.</w:t>
      </w:r>
      <w:r w:rsidRPr="00B33697">
        <w:rPr>
          <w:rFonts w:ascii="Arial" w:hAnsi="Arial" w:cs="Arial"/>
          <w:noProof/>
          <w:color w:val="000000" w:themeColor="text1"/>
        </w:rPr>
        <w:tab/>
      </w:r>
      <w:r w:rsidRPr="00B33697">
        <w:rPr>
          <w:rFonts w:ascii="Arial" w:hAnsi="Arial" w:cs="Arial"/>
          <w:noProof/>
          <w:color w:val="000000" w:themeColor="text1"/>
        </w:rPr>
        <w:tab/>
        <w:t>The Council’s available funds will be spread among different counterparties in order to minimise the risk of loss.</w:t>
      </w:r>
    </w:p>
    <w:p w:rsidR="00D6535E" w:rsidRDefault="00D6535E" w:rsidP="00D6535E">
      <w:pPr>
        <w:tabs>
          <w:tab w:val="left" w:pos="360"/>
        </w:tabs>
        <w:ind w:hanging="720"/>
        <w:jc w:val="both"/>
        <w:rPr>
          <w:rFonts w:ascii="Arial" w:hAnsi="Arial" w:cs="Arial"/>
          <w:noProof/>
          <w:color w:val="4F81BD" w:themeColor="accent1"/>
        </w:rPr>
      </w:pPr>
    </w:p>
    <w:p w:rsidR="00D6535E" w:rsidRPr="00471162" w:rsidRDefault="00D6535E" w:rsidP="00D6535E">
      <w:pPr>
        <w:pStyle w:val="BodyText"/>
        <w:ind w:left="720" w:hanging="720"/>
        <w:jc w:val="both"/>
        <w:rPr>
          <w:rFonts w:ascii="Arial" w:hAnsi="Arial" w:cs="Arial"/>
          <w:b/>
          <w:bCs/>
          <w:noProof/>
        </w:rPr>
      </w:pPr>
      <w:r w:rsidRPr="00471162">
        <w:rPr>
          <w:rFonts w:ascii="Arial" w:hAnsi="Arial" w:cs="Arial"/>
          <w:b/>
          <w:bCs/>
          <w:noProof/>
        </w:rPr>
        <w:t>Investment Strategy</w:t>
      </w:r>
    </w:p>
    <w:p w:rsidR="00D6535E" w:rsidRPr="00471162" w:rsidRDefault="00D6535E" w:rsidP="00D6535E">
      <w:pPr>
        <w:tabs>
          <w:tab w:val="left" w:pos="360"/>
        </w:tabs>
        <w:jc w:val="both"/>
        <w:rPr>
          <w:rFonts w:ascii="Arial" w:hAnsi="Arial" w:cs="Arial"/>
          <w:b/>
          <w:bCs/>
          <w:noProof/>
        </w:rPr>
      </w:pPr>
      <w:r w:rsidRPr="00471162">
        <w:rPr>
          <w:rFonts w:ascii="Arial" w:hAnsi="Arial" w:cs="Arial"/>
          <w:b/>
          <w:bCs/>
          <w:noProof/>
        </w:rPr>
        <w:t>In-house funds</w:t>
      </w:r>
    </w:p>
    <w:p w:rsidR="00D6535E" w:rsidRPr="00471162" w:rsidRDefault="00D6535E" w:rsidP="00D6535E">
      <w:pPr>
        <w:tabs>
          <w:tab w:val="left" w:pos="360"/>
        </w:tabs>
        <w:jc w:val="both"/>
        <w:rPr>
          <w:rFonts w:ascii="Arial" w:hAnsi="Arial" w:cs="Arial"/>
          <w:b/>
          <w:bCs/>
          <w:noProof/>
        </w:rPr>
      </w:pPr>
    </w:p>
    <w:p w:rsidR="00664E0D" w:rsidRDefault="00D6535E" w:rsidP="00D6535E">
      <w:pPr>
        <w:tabs>
          <w:tab w:val="left" w:pos="360"/>
        </w:tabs>
        <w:ind w:left="720" w:hanging="720"/>
        <w:jc w:val="both"/>
        <w:rPr>
          <w:rFonts w:ascii="Arial" w:hAnsi="Arial" w:cs="Arial"/>
          <w:noProof/>
        </w:rPr>
      </w:pPr>
      <w:r w:rsidRPr="00471162">
        <w:rPr>
          <w:rFonts w:ascii="Arial" w:hAnsi="Arial" w:cs="Arial"/>
          <w:noProof/>
        </w:rPr>
        <w:t>1</w:t>
      </w:r>
      <w:r>
        <w:rPr>
          <w:rFonts w:ascii="Arial" w:hAnsi="Arial" w:cs="Arial"/>
          <w:noProof/>
        </w:rPr>
        <w:t>4</w:t>
      </w:r>
      <w:r w:rsidRPr="00471162">
        <w:rPr>
          <w:rFonts w:ascii="Arial" w:hAnsi="Arial" w:cs="Arial"/>
          <w:noProof/>
        </w:rPr>
        <w:t>.</w:t>
      </w:r>
      <w:r w:rsidRPr="00471162">
        <w:rPr>
          <w:rFonts w:ascii="Arial" w:hAnsi="Arial" w:cs="Arial"/>
          <w:noProof/>
        </w:rPr>
        <w:tab/>
      </w:r>
      <w:r w:rsidRPr="00471162">
        <w:rPr>
          <w:rFonts w:ascii="Arial" w:hAnsi="Arial" w:cs="Arial"/>
          <w:noProof/>
        </w:rPr>
        <w:tab/>
        <w:t xml:space="preserve">Investments will be made with reference to the core balance and cash flow requirements and the outlook for short-term interest rates (i.e. rates for investments up to 12 months).   </w:t>
      </w:r>
    </w:p>
    <w:p w:rsidR="00664E0D" w:rsidRDefault="00664E0D">
      <w:pPr>
        <w:spacing w:after="200" w:line="276" w:lineRule="auto"/>
        <w:rPr>
          <w:rFonts w:ascii="Arial" w:hAnsi="Arial" w:cs="Arial"/>
          <w:noProof/>
        </w:rPr>
      </w:pPr>
      <w:r>
        <w:rPr>
          <w:rFonts w:ascii="Arial" w:hAnsi="Arial" w:cs="Arial"/>
          <w:noProof/>
        </w:rPr>
        <w:br w:type="page"/>
      </w:r>
    </w:p>
    <w:p w:rsidR="00D6535E" w:rsidRDefault="00D6535E" w:rsidP="00D6535E">
      <w:pPr>
        <w:tabs>
          <w:tab w:val="left" w:pos="360"/>
        </w:tabs>
        <w:ind w:left="720" w:hanging="720"/>
        <w:jc w:val="both"/>
        <w:rPr>
          <w:rFonts w:ascii="Arial" w:hAnsi="Arial" w:cs="Arial"/>
          <w:noProof/>
        </w:rPr>
      </w:pPr>
    </w:p>
    <w:p w:rsidR="00D6535E" w:rsidRPr="00471162" w:rsidRDefault="00D6535E" w:rsidP="00D6535E">
      <w:pPr>
        <w:tabs>
          <w:tab w:val="left" w:pos="360"/>
        </w:tabs>
        <w:jc w:val="both"/>
        <w:rPr>
          <w:rFonts w:ascii="Arial" w:hAnsi="Arial" w:cs="Arial"/>
          <w:b/>
          <w:bCs/>
          <w:noProof/>
        </w:rPr>
      </w:pPr>
      <w:r w:rsidRPr="00471162">
        <w:rPr>
          <w:rFonts w:ascii="Arial" w:hAnsi="Arial" w:cs="Arial"/>
          <w:b/>
          <w:bCs/>
          <w:noProof/>
        </w:rPr>
        <w:t>Investment returns expectations</w:t>
      </w:r>
    </w:p>
    <w:p w:rsidR="00D6535E" w:rsidRPr="00F3704E" w:rsidRDefault="00D6535E" w:rsidP="00D6535E">
      <w:pPr>
        <w:tabs>
          <w:tab w:val="left" w:pos="360"/>
        </w:tabs>
        <w:jc w:val="both"/>
        <w:rPr>
          <w:rFonts w:ascii="Arial" w:hAnsi="Arial" w:cs="Arial"/>
          <w:b/>
          <w:bCs/>
          <w:noProof/>
          <w:color w:val="4F81BD" w:themeColor="accent1"/>
        </w:rPr>
      </w:pPr>
    </w:p>
    <w:p w:rsidR="00D6535E" w:rsidRDefault="00D6535E" w:rsidP="00D6535E">
      <w:pPr>
        <w:tabs>
          <w:tab w:val="left" w:pos="360"/>
        </w:tabs>
        <w:ind w:left="720" w:hanging="720"/>
        <w:jc w:val="both"/>
        <w:rPr>
          <w:rFonts w:ascii="Arial" w:hAnsi="Arial" w:cs="Arial"/>
          <w:noProof/>
        </w:rPr>
      </w:pPr>
      <w:r w:rsidRPr="00471162">
        <w:rPr>
          <w:rFonts w:ascii="Arial" w:hAnsi="Arial" w:cs="Arial"/>
          <w:noProof/>
          <w:lang w:eastAsia="en-GB"/>
        </w:rPr>
        <w:t>1</w:t>
      </w:r>
      <w:r>
        <w:rPr>
          <w:rFonts w:ascii="Arial" w:hAnsi="Arial" w:cs="Arial"/>
          <w:noProof/>
          <w:lang w:eastAsia="en-GB"/>
        </w:rPr>
        <w:t>5</w:t>
      </w:r>
      <w:r w:rsidRPr="00471162">
        <w:rPr>
          <w:rFonts w:ascii="Arial" w:hAnsi="Arial" w:cs="Arial"/>
          <w:noProof/>
          <w:lang w:eastAsia="en-GB"/>
        </w:rPr>
        <w:t>.</w:t>
      </w:r>
      <w:r w:rsidRPr="00471162">
        <w:rPr>
          <w:rFonts w:ascii="Arial" w:hAnsi="Arial" w:cs="Arial"/>
          <w:noProof/>
          <w:lang w:eastAsia="en-GB"/>
        </w:rPr>
        <w:tab/>
      </w:r>
      <w:r w:rsidRPr="00471162">
        <w:rPr>
          <w:rFonts w:ascii="Arial" w:hAnsi="Arial" w:cs="Arial"/>
          <w:noProof/>
          <w:lang w:eastAsia="en-GB"/>
        </w:rPr>
        <w:tab/>
        <w:t xml:space="preserve">Bank Rate is forecast to remain unchanged at </w:t>
      </w:r>
      <w:r w:rsidR="00B817F0">
        <w:rPr>
          <w:rFonts w:ascii="Arial" w:hAnsi="Arial" w:cs="Arial"/>
          <w:noProof/>
          <w:lang w:eastAsia="en-GB"/>
        </w:rPr>
        <w:t>0.5</w:t>
      </w:r>
      <w:r w:rsidRPr="00471162">
        <w:rPr>
          <w:rFonts w:ascii="Arial" w:hAnsi="Arial" w:cs="Arial"/>
          <w:noProof/>
          <w:lang w:eastAsia="en-GB"/>
        </w:rPr>
        <w:t xml:space="preserve">% before starting to rise from </w:t>
      </w:r>
      <w:r>
        <w:rPr>
          <w:rFonts w:ascii="Arial" w:hAnsi="Arial" w:cs="Arial"/>
          <w:noProof/>
          <w:lang w:eastAsia="en-GB"/>
        </w:rPr>
        <w:t xml:space="preserve">Quarter </w:t>
      </w:r>
      <w:r w:rsidR="00B817F0">
        <w:rPr>
          <w:rFonts w:ascii="Arial" w:hAnsi="Arial" w:cs="Arial"/>
          <w:noProof/>
          <w:lang w:eastAsia="en-GB"/>
        </w:rPr>
        <w:t xml:space="preserve">4 2016 by 0.25% to 0.75%. By March 2019 Bank rate is forecast to be 1.75%. </w:t>
      </w:r>
      <w:r w:rsidRPr="00471162">
        <w:rPr>
          <w:rFonts w:ascii="Arial" w:hAnsi="Arial" w:cs="Arial"/>
          <w:noProof/>
        </w:rPr>
        <w:t xml:space="preserve">Bank Rate forecasts for financial year ends (March) are: </w:t>
      </w:r>
    </w:p>
    <w:p w:rsidR="00B817F0" w:rsidRDefault="00B817F0" w:rsidP="00D6535E">
      <w:pPr>
        <w:tabs>
          <w:tab w:val="left" w:pos="360"/>
        </w:tabs>
        <w:ind w:left="720" w:hanging="720"/>
        <w:jc w:val="both"/>
        <w:rPr>
          <w:rFonts w:ascii="Arial" w:hAnsi="Arial" w:cs="Arial"/>
          <w:noProof/>
        </w:rPr>
      </w:pPr>
    </w:p>
    <w:tbl>
      <w:tblPr>
        <w:tblStyle w:val="TableGrid"/>
        <w:tblW w:w="0" w:type="auto"/>
        <w:tblInd w:w="1065" w:type="dxa"/>
        <w:tblLook w:val="04A0" w:firstRow="1" w:lastRow="0" w:firstColumn="1" w:lastColumn="0" w:noHBand="0" w:noVBand="1"/>
      </w:tblPr>
      <w:tblGrid>
        <w:gridCol w:w="4254"/>
        <w:gridCol w:w="1797"/>
      </w:tblGrid>
      <w:tr w:rsidR="00B817F0" w:rsidTr="00B817F0">
        <w:tc>
          <w:tcPr>
            <w:tcW w:w="4254" w:type="dxa"/>
          </w:tcPr>
          <w:p w:rsidR="00B817F0" w:rsidRPr="00B817F0" w:rsidRDefault="00B817F0" w:rsidP="00D6535E">
            <w:pPr>
              <w:tabs>
                <w:tab w:val="left" w:pos="360"/>
              </w:tabs>
              <w:jc w:val="both"/>
              <w:rPr>
                <w:rFonts w:ascii="Arial" w:hAnsi="Arial" w:cs="Arial"/>
                <w:b/>
                <w:noProof/>
              </w:rPr>
            </w:pPr>
            <w:r w:rsidRPr="00B817F0">
              <w:rPr>
                <w:rFonts w:ascii="Arial" w:hAnsi="Arial" w:cs="Arial"/>
                <w:b/>
                <w:noProof/>
              </w:rPr>
              <w:t>Year</w:t>
            </w:r>
          </w:p>
        </w:tc>
        <w:tc>
          <w:tcPr>
            <w:tcW w:w="1797" w:type="dxa"/>
          </w:tcPr>
          <w:p w:rsidR="00B817F0" w:rsidRPr="00B817F0" w:rsidRDefault="00B817F0" w:rsidP="00B817F0">
            <w:pPr>
              <w:tabs>
                <w:tab w:val="left" w:pos="360"/>
              </w:tabs>
              <w:jc w:val="center"/>
              <w:rPr>
                <w:rFonts w:ascii="Arial" w:hAnsi="Arial" w:cs="Arial"/>
                <w:b/>
                <w:noProof/>
              </w:rPr>
            </w:pPr>
            <w:r w:rsidRPr="00B817F0">
              <w:rPr>
                <w:rFonts w:ascii="Arial" w:hAnsi="Arial" w:cs="Arial"/>
                <w:b/>
                <w:noProof/>
              </w:rPr>
              <w:t>Interest Rate</w:t>
            </w:r>
          </w:p>
        </w:tc>
      </w:tr>
      <w:tr w:rsidR="00B817F0" w:rsidTr="00B817F0">
        <w:tc>
          <w:tcPr>
            <w:tcW w:w="4254" w:type="dxa"/>
          </w:tcPr>
          <w:p w:rsidR="00B817F0" w:rsidRDefault="00B817F0" w:rsidP="00D6535E">
            <w:pPr>
              <w:tabs>
                <w:tab w:val="left" w:pos="360"/>
              </w:tabs>
              <w:jc w:val="both"/>
              <w:rPr>
                <w:rFonts w:ascii="Arial" w:hAnsi="Arial" w:cs="Arial"/>
                <w:noProof/>
              </w:rPr>
            </w:pPr>
            <w:r>
              <w:rPr>
                <w:rFonts w:ascii="Arial" w:hAnsi="Arial" w:cs="Arial"/>
                <w:noProof/>
              </w:rPr>
              <w:t>March 2016</w:t>
            </w:r>
          </w:p>
        </w:tc>
        <w:tc>
          <w:tcPr>
            <w:tcW w:w="1797" w:type="dxa"/>
          </w:tcPr>
          <w:p w:rsidR="00B817F0" w:rsidRDefault="00B817F0" w:rsidP="00B817F0">
            <w:pPr>
              <w:tabs>
                <w:tab w:val="left" w:pos="360"/>
              </w:tabs>
              <w:jc w:val="center"/>
              <w:rPr>
                <w:rFonts w:ascii="Arial" w:hAnsi="Arial" w:cs="Arial"/>
                <w:noProof/>
              </w:rPr>
            </w:pPr>
            <w:r>
              <w:rPr>
                <w:rFonts w:ascii="Arial" w:hAnsi="Arial" w:cs="Arial"/>
                <w:noProof/>
              </w:rPr>
              <w:t>0.5%</w:t>
            </w:r>
          </w:p>
        </w:tc>
      </w:tr>
      <w:tr w:rsidR="00B817F0" w:rsidTr="00B817F0">
        <w:tc>
          <w:tcPr>
            <w:tcW w:w="4254" w:type="dxa"/>
          </w:tcPr>
          <w:p w:rsidR="00B817F0" w:rsidRDefault="00B817F0" w:rsidP="00D6535E">
            <w:pPr>
              <w:tabs>
                <w:tab w:val="left" w:pos="360"/>
              </w:tabs>
              <w:jc w:val="both"/>
              <w:rPr>
                <w:rFonts w:ascii="Arial" w:hAnsi="Arial" w:cs="Arial"/>
                <w:noProof/>
              </w:rPr>
            </w:pPr>
            <w:r>
              <w:rPr>
                <w:rFonts w:ascii="Arial" w:hAnsi="Arial" w:cs="Arial"/>
                <w:noProof/>
              </w:rPr>
              <w:t>March 2017</w:t>
            </w:r>
          </w:p>
        </w:tc>
        <w:tc>
          <w:tcPr>
            <w:tcW w:w="1797" w:type="dxa"/>
          </w:tcPr>
          <w:p w:rsidR="00B817F0" w:rsidRDefault="00B817F0" w:rsidP="00B817F0">
            <w:pPr>
              <w:tabs>
                <w:tab w:val="left" w:pos="360"/>
              </w:tabs>
              <w:jc w:val="center"/>
              <w:rPr>
                <w:rFonts w:ascii="Arial" w:hAnsi="Arial" w:cs="Arial"/>
                <w:noProof/>
              </w:rPr>
            </w:pPr>
            <w:r>
              <w:rPr>
                <w:rFonts w:ascii="Arial" w:hAnsi="Arial" w:cs="Arial"/>
                <w:noProof/>
              </w:rPr>
              <w:t>0.75%</w:t>
            </w:r>
          </w:p>
        </w:tc>
      </w:tr>
      <w:tr w:rsidR="00B817F0" w:rsidTr="00B817F0">
        <w:tc>
          <w:tcPr>
            <w:tcW w:w="4254" w:type="dxa"/>
          </w:tcPr>
          <w:p w:rsidR="00B817F0" w:rsidRDefault="00B817F0" w:rsidP="00D6535E">
            <w:pPr>
              <w:tabs>
                <w:tab w:val="left" w:pos="360"/>
              </w:tabs>
              <w:jc w:val="both"/>
              <w:rPr>
                <w:rFonts w:ascii="Arial" w:hAnsi="Arial" w:cs="Arial"/>
                <w:noProof/>
              </w:rPr>
            </w:pPr>
            <w:r>
              <w:rPr>
                <w:rFonts w:ascii="Arial" w:hAnsi="Arial" w:cs="Arial"/>
                <w:noProof/>
              </w:rPr>
              <w:t>March 2018</w:t>
            </w:r>
          </w:p>
        </w:tc>
        <w:tc>
          <w:tcPr>
            <w:tcW w:w="1797" w:type="dxa"/>
          </w:tcPr>
          <w:p w:rsidR="00B817F0" w:rsidRDefault="00B817F0" w:rsidP="00B817F0">
            <w:pPr>
              <w:tabs>
                <w:tab w:val="left" w:pos="360"/>
              </w:tabs>
              <w:jc w:val="center"/>
              <w:rPr>
                <w:rFonts w:ascii="Arial" w:hAnsi="Arial" w:cs="Arial"/>
                <w:noProof/>
              </w:rPr>
            </w:pPr>
            <w:r>
              <w:rPr>
                <w:rFonts w:ascii="Arial" w:hAnsi="Arial" w:cs="Arial"/>
                <w:noProof/>
              </w:rPr>
              <w:t>1.25%</w:t>
            </w:r>
          </w:p>
        </w:tc>
      </w:tr>
      <w:tr w:rsidR="00B817F0" w:rsidTr="00B817F0">
        <w:tc>
          <w:tcPr>
            <w:tcW w:w="4254" w:type="dxa"/>
          </w:tcPr>
          <w:p w:rsidR="00B817F0" w:rsidRDefault="00B817F0" w:rsidP="00D6535E">
            <w:pPr>
              <w:tabs>
                <w:tab w:val="left" w:pos="360"/>
              </w:tabs>
              <w:jc w:val="both"/>
              <w:rPr>
                <w:rFonts w:ascii="Arial" w:hAnsi="Arial" w:cs="Arial"/>
                <w:noProof/>
              </w:rPr>
            </w:pPr>
            <w:r>
              <w:rPr>
                <w:rFonts w:ascii="Arial" w:hAnsi="Arial" w:cs="Arial"/>
                <w:noProof/>
              </w:rPr>
              <w:t>March 2019</w:t>
            </w:r>
          </w:p>
        </w:tc>
        <w:tc>
          <w:tcPr>
            <w:tcW w:w="1797" w:type="dxa"/>
          </w:tcPr>
          <w:p w:rsidR="00B817F0" w:rsidRDefault="00B817F0" w:rsidP="00B817F0">
            <w:pPr>
              <w:tabs>
                <w:tab w:val="left" w:pos="360"/>
              </w:tabs>
              <w:jc w:val="center"/>
              <w:rPr>
                <w:rFonts w:ascii="Arial" w:hAnsi="Arial" w:cs="Arial"/>
                <w:noProof/>
              </w:rPr>
            </w:pPr>
            <w:r>
              <w:rPr>
                <w:rFonts w:ascii="Arial" w:hAnsi="Arial" w:cs="Arial"/>
                <w:noProof/>
              </w:rPr>
              <w:t>1.75%</w:t>
            </w:r>
          </w:p>
        </w:tc>
      </w:tr>
    </w:tbl>
    <w:p w:rsidR="00D6535E" w:rsidRPr="000D7297" w:rsidRDefault="00D6535E" w:rsidP="00D6535E">
      <w:pPr>
        <w:rPr>
          <w:rFonts w:ascii="Arial" w:hAnsi="Arial" w:cs="Arial"/>
          <w:noProof/>
        </w:rPr>
      </w:pPr>
    </w:p>
    <w:p w:rsidR="00D6535E" w:rsidRDefault="00D6535E" w:rsidP="00D6535E">
      <w:pPr>
        <w:ind w:left="720" w:hanging="720"/>
        <w:jc w:val="both"/>
        <w:rPr>
          <w:rFonts w:ascii="Arial" w:hAnsi="Arial" w:cs="Arial"/>
          <w:noProof/>
        </w:rPr>
      </w:pPr>
      <w:r w:rsidRPr="002862A4">
        <w:rPr>
          <w:rFonts w:ascii="Arial" w:hAnsi="Arial" w:cs="Arial"/>
          <w:noProof/>
        </w:rPr>
        <w:t>1</w:t>
      </w:r>
      <w:r>
        <w:rPr>
          <w:rFonts w:ascii="Arial" w:hAnsi="Arial" w:cs="Arial"/>
          <w:noProof/>
        </w:rPr>
        <w:t>6</w:t>
      </w:r>
      <w:r w:rsidRPr="002862A4">
        <w:rPr>
          <w:rFonts w:ascii="Arial" w:hAnsi="Arial" w:cs="Arial"/>
          <w:noProof/>
        </w:rPr>
        <w:t>.</w:t>
      </w:r>
      <w:r w:rsidRPr="002862A4">
        <w:rPr>
          <w:rFonts w:ascii="Arial" w:hAnsi="Arial" w:cs="Arial"/>
          <w:noProof/>
        </w:rPr>
        <w:tab/>
      </w:r>
      <w:r w:rsidR="00B817F0">
        <w:rPr>
          <w:rFonts w:ascii="Arial" w:hAnsi="Arial" w:cs="Arial"/>
          <w:noProof/>
        </w:rPr>
        <w:t>The draft revenue budget includes a gross return on treasury activities of £135,000. Depending on decisions made by Members during 2016/17 to deal with the loss of Government Funding, cash available for invesment may decline. The Investment Strategy will be reviewed and updated to take account of these decisions.</w:t>
      </w:r>
      <w:r w:rsidR="00CD4006">
        <w:rPr>
          <w:rFonts w:ascii="Arial" w:hAnsi="Arial" w:cs="Arial"/>
          <w:noProof/>
        </w:rPr>
        <w:t xml:space="preserve"> Capita Asset Services suggest the following returns should be achievable in subsequent financial years:</w:t>
      </w:r>
    </w:p>
    <w:p w:rsidR="00CD4006" w:rsidRDefault="00CD4006" w:rsidP="00D6535E">
      <w:pPr>
        <w:ind w:left="720" w:hanging="720"/>
        <w:jc w:val="both"/>
        <w:rPr>
          <w:rFonts w:ascii="Arial" w:hAnsi="Arial" w:cs="Arial"/>
          <w:noProof/>
        </w:rPr>
      </w:pPr>
    </w:p>
    <w:p w:rsidR="00CD4006" w:rsidRPr="00CD4006" w:rsidRDefault="00CD4006" w:rsidP="00CD4006">
      <w:pPr>
        <w:spacing w:before="45" w:after="45"/>
        <w:ind w:left="720"/>
        <w:jc w:val="both"/>
        <w:rPr>
          <w:rFonts w:ascii="Arial" w:hAnsi="Arial" w:cs="Arial"/>
          <w:noProof/>
        </w:rPr>
      </w:pPr>
      <w:r w:rsidRPr="00CD4006">
        <w:rPr>
          <w:rFonts w:ascii="Arial" w:hAnsi="Arial" w:cs="Arial"/>
          <w:noProof/>
        </w:rPr>
        <w:t>2017/18  1.50%</w:t>
      </w:r>
    </w:p>
    <w:p w:rsidR="00CD4006" w:rsidRPr="00CD4006" w:rsidRDefault="00CD4006" w:rsidP="00CD4006">
      <w:pPr>
        <w:spacing w:before="45" w:after="45"/>
        <w:ind w:left="720"/>
        <w:jc w:val="both"/>
        <w:rPr>
          <w:rFonts w:ascii="Arial" w:hAnsi="Arial" w:cs="Arial"/>
          <w:noProof/>
        </w:rPr>
      </w:pPr>
      <w:r w:rsidRPr="00CD4006">
        <w:rPr>
          <w:rFonts w:ascii="Arial" w:hAnsi="Arial" w:cs="Arial"/>
          <w:noProof/>
        </w:rPr>
        <w:t>2018/19  2.00%</w:t>
      </w:r>
    </w:p>
    <w:p w:rsidR="00CD4006" w:rsidRPr="00CD4006" w:rsidRDefault="00CD4006" w:rsidP="00CD4006">
      <w:pPr>
        <w:spacing w:before="45" w:after="45"/>
        <w:ind w:left="720"/>
        <w:jc w:val="both"/>
        <w:rPr>
          <w:rFonts w:ascii="Arial" w:hAnsi="Arial" w:cs="Arial"/>
          <w:noProof/>
        </w:rPr>
      </w:pPr>
      <w:r w:rsidRPr="00CD4006">
        <w:rPr>
          <w:rFonts w:ascii="Arial" w:hAnsi="Arial" w:cs="Arial"/>
          <w:noProof/>
        </w:rPr>
        <w:t>2019/20  2.25%</w:t>
      </w:r>
    </w:p>
    <w:p w:rsidR="00CD4006" w:rsidRPr="00CD4006" w:rsidRDefault="00CD4006" w:rsidP="00CD4006">
      <w:pPr>
        <w:spacing w:before="45" w:after="45"/>
        <w:ind w:left="720"/>
        <w:jc w:val="both"/>
        <w:rPr>
          <w:rFonts w:ascii="Arial" w:hAnsi="Arial" w:cs="Arial"/>
          <w:noProof/>
        </w:rPr>
      </w:pPr>
      <w:r w:rsidRPr="00CD4006">
        <w:rPr>
          <w:rFonts w:ascii="Arial" w:hAnsi="Arial" w:cs="Arial"/>
          <w:noProof/>
        </w:rPr>
        <w:t>2020/21  2.50%</w:t>
      </w:r>
    </w:p>
    <w:p w:rsidR="00CD4006" w:rsidRPr="00CD4006" w:rsidRDefault="00CD4006" w:rsidP="00CD4006">
      <w:pPr>
        <w:spacing w:before="45" w:after="45"/>
        <w:ind w:left="720"/>
        <w:jc w:val="both"/>
        <w:rPr>
          <w:rFonts w:ascii="Arial" w:hAnsi="Arial" w:cs="Arial"/>
          <w:noProof/>
        </w:rPr>
      </w:pPr>
      <w:r w:rsidRPr="00CD4006">
        <w:rPr>
          <w:rFonts w:ascii="Arial" w:hAnsi="Arial" w:cs="Arial"/>
          <w:noProof/>
        </w:rPr>
        <w:t>2021/22  3.00%</w:t>
      </w:r>
    </w:p>
    <w:p w:rsidR="00CD4006" w:rsidRPr="00CD4006" w:rsidRDefault="00CD4006" w:rsidP="00CD4006">
      <w:pPr>
        <w:spacing w:before="45" w:after="45"/>
        <w:ind w:left="720"/>
        <w:jc w:val="both"/>
        <w:rPr>
          <w:rFonts w:ascii="Arial" w:hAnsi="Arial" w:cs="Arial"/>
          <w:noProof/>
        </w:rPr>
      </w:pPr>
      <w:r w:rsidRPr="00CD4006">
        <w:rPr>
          <w:rFonts w:ascii="Arial" w:hAnsi="Arial" w:cs="Arial"/>
          <w:noProof/>
        </w:rPr>
        <w:t>2022/23  3.00%</w:t>
      </w:r>
    </w:p>
    <w:p w:rsidR="00CD4006" w:rsidRPr="00CD4006" w:rsidRDefault="00CD4006" w:rsidP="00CD4006">
      <w:pPr>
        <w:ind w:left="720"/>
        <w:jc w:val="both"/>
        <w:rPr>
          <w:rFonts w:ascii="Arial" w:hAnsi="Arial" w:cs="Arial"/>
          <w:noProof/>
        </w:rPr>
      </w:pPr>
      <w:r w:rsidRPr="00CD4006">
        <w:rPr>
          <w:rFonts w:ascii="Arial" w:hAnsi="Arial" w:cs="Arial"/>
          <w:noProof/>
        </w:rPr>
        <w:t>Later years 3.00%</w:t>
      </w:r>
    </w:p>
    <w:p w:rsidR="00D6535E" w:rsidRPr="00471162" w:rsidRDefault="00D6535E" w:rsidP="00D6535E">
      <w:pPr>
        <w:ind w:left="720"/>
        <w:rPr>
          <w:rFonts w:ascii="Arial" w:hAnsi="Arial"/>
          <w:noProof/>
          <w:spacing w:val="-5"/>
        </w:rPr>
      </w:pPr>
      <w:r w:rsidRPr="00471162">
        <w:rPr>
          <w:rFonts w:ascii="Arial" w:hAnsi="Arial"/>
          <w:b/>
          <w:noProof/>
          <w:color w:val="000000"/>
          <w:spacing w:val="-5"/>
        </w:rPr>
        <w:tab/>
      </w:r>
    </w:p>
    <w:p w:rsidR="00D6535E" w:rsidRPr="00471162" w:rsidRDefault="00D6535E" w:rsidP="00D6535E">
      <w:pPr>
        <w:ind w:left="720" w:hanging="720"/>
        <w:jc w:val="both"/>
        <w:rPr>
          <w:rFonts w:ascii="Arial" w:hAnsi="Arial" w:cs="Arial"/>
          <w:noProof/>
        </w:rPr>
      </w:pPr>
      <w:r>
        <w:rPr>
          <w:rFonts w:ascii="Arial" w:hAnsi="Arial" w:cs="Arial"/>
          <w:noProof/>
        </w:rPr>
        <w:t>17</w:t>
      </w:r>
      <w:r w:rsidRPr="00471162">
        <w:rPr>
          <w:rFonts w:ascii="Arial" w:hAnsi="Arial" w:cs="Arial"/>
          <w:noProof/>
        </w:rPr>
        <w:t>.</w:t>
      </w:r>
      <w:r w:rsidRPr="00471162">
        <w:rPr>
          <w:rFonts w:ascii="Arial" w:hAnsi="Arial" w:cs="Arial"/>
          <w:b/>
          <w:noProof/>
        </w:rPr>
        <w:tab/>
        <w:t>Investment treasury indicator and limit</w:t>
      </w:r>
      <w:r w:rsidRPr="00471162">
        <w:rPr>
          <w:rFonts w:ascii="Arial" w:hAnsi="Arial" w:cs="Arial"/>
          <w:noProof/>
        </w:rPr>
        <w:t xml:space="preserve"> </w:t>
      </w:r>
      <w:r>
        <w:rPr>
          <w:rFonts w:ascii="Arial" w:hAnsi="Arial" w:cs="Arial"/>
          <w:noProof/>
        </w:rPr>
        <w:t>–</w:t>
      </w:r>
      <w:r w:rsidRPr="00471162">
        <w:rPr>
          <w:rFonts w:ascii="Arial" w:hAnsi="Arial" w:cs="Arial"/>
          <w:noProof/>
        </w:rPr>
        <w:t xml:space="preserve"> total principal funds invested for greater than 364 days. These limits are set with regard to the Council’s liquidity requirements and to reduce the need for early sale of an investment, and are based on the availability of funds after each year-end.</w:t>
      </w:r>
    </w:p>
    <w:p w:rsidR="00D6535E" w:rsidRPr="00F3704E" w:rsidRDefault="00D6535E" w:rsidP="00D6535E">
      <w:pPr>
        <w:rPr>
          <w:noProof/>
        </w:rPr>
      </w:pPr>
    </w:p>
    <w:p w:rsidR="00D6535E" w:rsidRPr="00471162" w:rsidRDefault="00D6535E" w:rsidP="00D6535E">
      <w:pPr>
        <w:jc w:val="both"/>
        <w:rPr>
          <w:rFonts w:ascii="Arial" w:hAnsi="Arial" w:cs="Arial"/>
        </w:rPr>
      </w:pPr>
      <w:r>
        <w:rPr>
          <w:rFonts w:ascii="Arial" w:hAnsi="Arial" w:cs="Arial"/>
        </w:rPr>
        <w:t>18</w:t>
      </w:r>
      <w:r w:rsidRPr="00471162">
        <w:rPr>
          <w:rFonts w:ascii="Arial" w:hAnsi="Arial" w:cs="Arial"/>
        </w:rPr>
        <w:t>.</w:t>
      </w:r>
      <w:r w:rsidRPr="00471162">
        <w:rPr>
          <w:rFonts w:ascii="Arial" w:hAnsi="Arial" w:cs="Arial"/>
        </w:rPr>
        <w:tab/>
        <w:t>The Council is asked to approve the treasury indicator and limit:</w:t>
      </w:r>
    </w:p>
    <w:p w:rsidR="00D6535E" w:rsidRPr="00471162" w:rsidRDefault="00D6535E" w:rsidP="00D6535E">
      <w:pPr>
        <w:jc w:val="both"/>
        <w:rPr>
          <w:rFonts w:cs="Arial"/>
          <w:noProof/>
          <w:sz w:val="22"/>
          <w:szCs w:val="22"/>
        </w:rPr>
      </w:pPr>
    </w:p>
    <w:tbl>
      <w:tblPr>
        <w:tblW w:w="85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799"/>
        <w:gridCol w:w="1979"/>
        <w:gridCol w:w="1799"/>
      </w:tblGrid>
      <w:tr w:rsidR="00D6535E" w:rsidRPr="00D12513" w:rsidTr="00CD4006">
        <w:trPr>
          <w:trHeight w:val="362"/>
          <w:jc w:val="right"/>
        </w:trPr>
        <w:tc>
          <w:tcPr>
            <w:tcW w:w="8565" w:type="dxa"/>
            <w:gridSpan w:val="4"/>
            <w:shd w:val="clear" w:color="auto" w:fill="C0C0C0"/>
            <w:vAlign w:val="center"/>
          </w:tcPr>
          <w:p w:rsidR="00D6535E" w:rsidRPr="00D12513" w:rsidRDefault="00D6535E" w:rsidP="00CD4006">
            <w:pPr>
              <w:pStyle w:val="BodyText"/>
              <w:jc w:val="center"/>
              <w:rPr>
                <w:rFonts w:ascii="Arial" w:hAnsi="Arial" w:cs="Arial"/>
                <w:lang w:val="en-US"/>
              </w:rPr>
            </w:pPr>
            <w:r w:rsidRPr="00D12513">
              <w:rPr>
                <w:rFonts w:ascii="Arial" w:hAnsi="Arial" w:cs="Arial"/>
                <w:b/>
                <w:bCs/>
                <w:lang w:val="en-US"/>
              </w:rPr>
              <w:t>Maximum principal sums invested &gt; 364 days</w:t>
            </w:r>
          </w:p>
        </w:tc>
      </w:tr>
      <w:tr w:rsidR="0062597D" w:rsidRPr="00D12513" w:rsidTr="00CD4006">
        <w:trPr>
          <w:cantSplit/>
          <w:trHeight w:val="366"/>
          <w:jc w:val="right"/>
        </w:trPr>
        <w:tc>
          <w:tcPr>
            <w:tcW w:w="2988" w:type="dxa"/>
            <w:shd w:val="clear" w:color="auto" w:fill="C0C0C0"/>
            <w:vAlign w:val="center"/>
          </w:tcPr>
          <w:p w:rsidR="0062597D" w:rsidRPr="00D12513" w:rsidRDefault="0062597D" w:rsidP="00CD4006">
            <w:pPr>
              <w:pStyle w:val="BodyText"/>
              <w:jc w:val="center"/>
              <w:rPr>
                <w:rFonts w:ascii="Arial" w:hAnsi="Arial" w:cs="Arial"/>
                <w:b/>
                <w:bCs/>
                <w:lang w:val="en-US"/>
              </w:rPr>
            </w:pPr>
          </w:p>
        </w:tc>
        <w:tc>
          <w:tcPr>
            <w:tcW w:w="1799" w:type="dxa"/>
            <w:shd w:val="clear" w:color="auto" w:fill="C0C0C0"/>
            <w:vAlign w:val="center"/>
          </w:tcPr>
          <w:p w:rsidR="0062597D" w:rsidRPr="00D12513" w:rsidRDefault="0062597D" w:rsidP="00CD4006">
            <w:pPr>
              <w:pStyle w:val="BodyText"/>
              <w:jc w:val="center"/>
              <w:rPr>
                <w:rFonts w:ascii="Arial" w:hAnsi="Arial" w:cs="Arial"/>
                <w:b/>
                <w:bCs/>
                <w:lang w:val="en-US"/>
              </w:rPr>
            </w:pPr>
            <w:r w:rsidRPr="00D12513">
              <w:rPr>
                <w:rFonts w:ascii="Arial" w:hAnsi="Arial" w:cs="Arial"/>
                <w:b/>
                <w:bCs/>
                <w:lang w:val="en-US"/>
              </w:rPr>
              <w:t>2016/17</w:t>
            </w:r>
          </w:p>
        </w:tc>
        <w:tc>
          <w:tcPr>
            <w:tcW w:w="1979" w:type="dxa"/>
            <w:shd w:val="clear" w:color="auto" w:fill="C0C0C0"/>
            <w:vAlign w:val="center"/>
          </w:tcPr>
          <w:p w:rsidR="0062597D" w:rsidRPr="00D12513" w:rsidRDefault="0062597D" w:rsidP="00CD4006">
            <w:pPr>
              <w:pStyle w:val="BodyText"/>
              <w:jc w:val="center"/>
              <w:rPr>
                <w:rFonts w:ascii="Arial" w:hAnsi="Arial" w:cs="Arial"/>
                <w:b/>
                <w:bCs/>
                <w:lang w:val="en-US"/>
              </w:rPr>
            </w:pPr>
            <w:r w:rsidRPr="00D12513">
              <w:rPr>
                <w:rFonts w:ascii="Arial" w:hAnsi="Arial" w:cs="Arial"/>
                <w:b/>
                <w:bCs/>
                <w:lang w:val="en-US"/>
              </w:rPr>
              <w:t>2017/18</w:t>
            </w:r>
          </w:p>
        </w:tc>
        <w:tc>
          <w:tcPr>
            <w:tcW w:w="1799" w:type="dxa"/>
            <w:shd w:val="clear" w:color="auto" w:fill="C0C0C0"/>
            <w:vAlign w:val="center"/>
          </w:tcPr>
          <w:p w:rsidR="0062597D" w:rsidRPr="00D12513" w:rsidRDefault="0062597D" w:rsidP="0062597D">
            <w:pPr>
              <w:pStyle w:val="BodyText"/>
              <w:jc w:val="center"/>
              <w:rPr>
                <w:rFonts w:ascii="Arial" w:hAnsi="Arial" w:cs="Arial"/>
                <w:b/>
                <w:bCs/>
                <w:lang w:val="en-US"/>
              </w:rPr>
            </w:pPr>
            <w:r w:rsidRPr="00D12513">
              <w:rPr>
                <w:rFonts w:ascii="Arial" w:hAnsi="Arial" w:cs="Arial"/>
                <w:b/>
                <w:bCs/>
                <w:lang w:val="en-US"/>
              </w:rPr>
              <w:t>2018</w:t>
            </w:r>
            <w:r>
              <w:rPr>
                <w:rFonts w:ascii="Arial" w:hAnsi="Arial" w:cs="Arial"/>
                <w:b/>
                <w:bCs/>
                <w:lang w:val="en-US"/>
              </w:rPr>
              <w:t>/19</w:t>
            </w:r>
          </w:p>
        </w:tc>
      </w:tr>
      <w:tr w:rsidR="00D6535E" w:rsidRPr="00D12513" w:rsidTr="00CD4006">
        <w:trPr>
          <w:trHeight w:val="654"/>
          <w:jc w:val="right"/>
        </w:trPr>
        <w:tc>
          <w:tcPr>
            <w:tcW w:w="2988" w:type="dxa"/>
            <w:vAlign w:val="center"/>
          </w:tcPr>
          <w:p w:rsidR="00D6535E" w:rsidRPr="00D12513" w:rsidRDefault="00D6535E" w:rsidP="00CD4006">
            <w:pPr>
              <w:pStyle w:val="BodyText"/>
              <w:rPr>
                <w:rFonts w:ascii="Arial" w:hAnsi="Arial" w:cs="Arial"/>
                <w:bCs/>
                <w:lang w:val="en-US"/>
              </w:rPr>
            </w:pPr>
            <w:r w:rsidRPr="00D12513">
              <w:rPr>
                <w:rFonts w:ascii="Arial" w:hAnsi="Arial" w:cs="Arial"/>
                <w:bCs/>
                <w:lang w:val="en-US"/>
              </w:rPr>
              <w:t>Principal sums invested &gt; 364 days</w:t>
            </w:r>
          </w:p>
        </w:tc>
        <w:tc>
          <w:tcPr>
            <w:tcW w:w="1799" w:type="dxa"/>
            <w:vAlign w:val="center"/>
          </w:tcPr>
          <w:p w:rsidR="00D6535E" w:rsidRPr="00D12513" w:rsidRDefault="00D6535E" w:rsidP="00CD4006">
            <w:pPr>
              <w:jc w:val="center"/>
              <w:rPr>
                <w:rFonts w:ascii="Arial" w:hAnsi="Arial" w:cs="Arial"/>
              </w:rPr>
            </w:pPr>
            <w:r w:rsidRPr="00D12513">
              <w:rPr>
                <w:rFonts w:ascii="Arial" w:hAnsi="Arial" w:cs="Arial"/>
              </w:rPr>
              <w:t>5,000,000</w:t>
            </w:r>
          </w:p>
        </w:tc>
        <w:tc>
          <w:tcPr>
            <w:tcW w:w="1979" w:type="dxa"/>
            <w:vAlign w:val="center"/>
          </w:tcPr>
          <w:p w:rsidR="00D6535E" w:rsidRPr="00D12513" w:rsidRDefault="00D6535E" w:rsidP="00CD4006">
            <w:pPr>
              <w:jc w:val="center"/>
              <w:rPr>
                <w:rFonts w:ascii="Arial" w:hAnsi="Arial" w:cs="Arial"/>
              </w:rPr>
            </w:pPr>
            <w:r w:rsidRPr="00D12513">
              <w:rPr>
                <w:rFonts w:ascii="Arial" w:hAnsi="Arial" w:cs="Arial"/>
              </w:rPr>
              <w:t>5,000,000</w:t>
            </w:r>
          </w:p>
        </w:tc>
        <w:tc>
          <w:tcPr>
            <w:tcW w:w="1799" w:type="dxa"/>
            <w:vAlign w:val="center"/>
          </w:tcPr>
          <w:p w:rsidR="00D6535E" w:rsidRPr="00D12513" w:rsidRDefault="00D6535E" w:rsidP="00CD4006">
            <w:pPr>
              <w:jc w:val="center"/>
              <w:rPr>
                <w:rFonts w:ascii="Arial" w:hAnsi="Arial" w:cs="Arial"/>
              </w:rPr>
            </w:pPr>
            <w:r w:rsidRPr="00D12513">
              <w:rPr>
                <w:rFonts w:ascii="Arial" w:hAnsi="Arial" w:cs="Arial"/>
              </w:rPr>
              <w:t>5,000,000</w:t>
            </w:r>
          </w:p>
        </w:tc>
      </w:tr>
    </w:tbl>
    <w:p w:rsidR="00D6535E" w:rsidRPr="00D12513" w:rsidRDefault="00D6535E" w:rsidP="00D6535E">
      <w:pPr>
        <w:rPr>
          <w:rFonts w:ascii="Arial" w:hAnsi="Arial" w:cs="Arial"/>
          <w:noProof/>
        </w:rPr>
      </w:pPr>
    </w:p>
    <w:p w:rsidR="00D6535E" w:rsidRPr="00471162" w:rsidRDefault="00D6535E" w:rsidP="00D6535E">
      <w:pPr>
        <w:ind w:left="720" w:hanging="720"/>
        <w:jc w:val="both"/>
        <w:rPr>
          <w:rFonts w:ascii="Arial" w:hAnsi="Arial" w:cs="Arial"/>
          <w:noProof/>
        </w:rPr>
      </w:pPr>
      <w:r>
        <w:rPr>
          <w:rFonts w:ascii="Arial" w:hAnsi="Arial" w:cs="Arial"/>
          <w:noProof/>
        </w:rPr>
        <w:t>19</w:t>
      </w:r>
      <w:r w:rsidRPr="00471162">
        <w:rPr>
          <w:rFonts w:ascii="Arial" w:hAnsi="Arial" w:cs="Arial"/>
          <w:noProof/>
        </w:rPr>
        <w:t>.</w:t>
      </w:r>
      <w:r w:rsidRPr="00471162">
        <w:rPr>
          <w:rFonts w:ascii="Arial" w:hAnsi="Arial" w:cs="Arial"/>
          <w:noProof/>
        </w:rPr>
        <w:tab/>
        <w:t xml:space="preserve">For </w:t>
      </w:r>
      <w:r w:rsidR="0062597D">
        <w:rPr>
          <w:rFonts w:ascii="Arial" w:hAnsi="Arial" w:cs="Arial"/>
          <w:noProof/>
        </w:rPr>
        <w:t>2016/17</w:t>
      </w:r>
      <w:r>
        <w:rPr>
          <w:rFonts w:ascii="Arial" w:hAnsi="Arial" w:cs="Arial"/>
          <w:noProof/>
        </w:rPr>
        <w:t>,</w:t>
      </w:r>
      <w:r w:rsidRPr="00471162">
        <w:rPr>
          <w:rFonts w:ascii="Arial" w:hAnsi="Arial" w:cs="Arial"/>
          <w:noProof/>
        </w:rPr>
        <w:t xml:space="preserve"> the Council has budgeted for an investment return of approximately </w:t>
      </w:r>
      <w:r w:rsidR="00B817F0">
        <w:rPr>
          <w:rFonts w:ascii="Arial" w:hAnsi="Arial" w:cs="Arial"/>
          <w:noProof/>
          <w:color w:val="000000" w:themeColor="text1"/>
        </w:rPr>
        <w:t>0.65</w:t>
      </w:r>
      <w:r w:rsidRPr="000325D6">
        <w:rPr>
          <w:rFonts w:ascii="Arial" w:hAnsi="Arial" w:cs="Arial"/>
          <w:noProof/>
          <w:color w:val="000000" w:themeColor="text1"/>
        </w:rPr>
        <w:t xml:space="preserve">% based </w:t>
      </w:r>
      <w:r w:rsidRPr="00471162">
        <w:rPr>
          <w:rFonts w:ascii="Arial" w:hAnsi="Arial" w:cs="Arial"/>
          <w:noProof/>
        </w:rPr>
        <w:t xml:space="preserve">on current performance. </w:t>
      </w:r>
    </w:p>
    <w:p w:rsidR="00D6535E" w:rsidRPr="00F3704E" w:rsidRDefault="00D6535E" w:rsidP="00D6535E">
      <w:pPr>
        <w:numPr>
          <w:ilvl w:val="12"/>
          <w:numId w:val="0"/>
        </w:numPr>
        <w:jc w:val="both"/>
        <w:rPr>
          <w:rFonts w:ascii="Arial" w:hAnsi="Arial" w:cs="Arial"/>
          <w:noProof/>
          <w:color w:val="4F81BD" w:themeColor="accent1"/>
        </w:rPr>
      </w:pPr>
    </w:p>
    <w:p w:rsidR="00D6535E" w:rsidRDefault="00D6535E" w:rsidP="00D6535E">
      <w:pPr>
        <w:autoSpaceDE w:val="0"/>
        <w:autoSpaceDN w:val="0"/>
        <w:adjustRightInd w:val="0"/>
        <w:ind w:left="720" w:hanging="720"/>
        <w:jc w:val="both"/>
        <w:rPr>
          <w:rFonts w:ascii="Arial" w:hAnsi="Arial" w:cs="Arial"/>
          <w:noProof/>
          <w:lang w:eastAsia="en-GB"/>
        </w:rPr>
      </w:pPr>
      <w:r w:rsidRPr="00471162">
        <w:rPr>
          <w:rFonts w:ascii="Arial" w:hAnsi="Arial" w:cs="Arial"/>
          <w:noProof/>
          <w:lang w:eastAsia="en-GB"/>
        </w:rPr>
        <w:t>2</w:t>
      </w:r>
      <w:r>
        <w:rPr>
          <w:rFonts w:ascii="Arial" w:hAnsi="Arial" w:cs="Arial"/>
          <w:noProof/>
          <w:lang w:eastAsia="en-GB"/>
        </w:rPr>
        <w:t>0</w:t>
      </w:r>
      <w:r w:rsidRPr="00471162">
        <w:rPr>
          <w:rFonts w:ascii="Arial" w:hAnsi="Arial" w:cs="Arial"/>
          <w:noProof/>
          <w:lang w:eastAsia="en-GB"/>
        </w:rPr>
        <w:t>.</w:t>
      </w:r>
      <w:r w:rsidRPr="00471162">
        <w:rPr>
          <w:rFonts w:ascii="Arial" w:hAnsi="Arial" w:cs="Arial"/>
          <w:noProof/>
          <w:lang w:eastAsia="en-GB"/>
        </w:rPr>
        <w:tab/>
        <w:t xml:space="preserve">For its cash flow generated balances, the Council will seek to utilise its business reserve accounts, 15 and 30 day notice accounts, money market funds and short-dated deposits (overnight to </w:t>
      </w:r>
      <w:r>
        <w:rPr>
          <w:rFonts w:ascii="Arial" w:hAnsi="Arial" w:cs="Arial"/>
          <w:noProof/>
          <w:lang w:eastAsia="en-GB"/>
        </w:rPr>
        <w:t xml:space="preserve">three, six and nine </w:t>
      </w:r>
      <w:r w:rsidRPr="00471162">
        <w:rPr>
          <w:rFonts w:ascii="Arial" w:hAnsi="Arial" w:cs="Arial"/>
          <w:noProof/>
          <w:lang w:eastAsia="en-GB"/>
        </w:rPr>
        <w:t xml:space="preserve">months) in order to benefit from the compounding of interest.  </w:t>
      </w:r>
    </w:p>
    <w:p w:rsidR="00664E0D" w:rsidRDefault="00664E0D">
      <w:pPr>
        <w:spacing w:after="200" w:line="276" w:lineRule="auto"/>
        <w:rPr>
          <w:rFonts w:ascii="Arial" w:hAnsi="Arial" w:cs="Arial"/>
          <w:noProof/>
          <w:lang w:eastAsia="en-GB"/>
        </w:rPr>
      </w:pPr>
      <w:r>
        <w:rPr>
          <w:rFonts w:ascii="Arial" w:hAnsi="Arial" w:cs="Arial"/>
          <w:noProof/>
          <w:lang w:eastAsia="en-GB"/>
        </w:rPr>
        <w:br w:type="page"/>
      </w:r>
    </w:p>
    <w:p w:rsidR="00CD4006" w:rsidRPr="00CD4006" w:rsidRDefault="00664E0D" w:rsidP="00CD4006">
      <w:pPr>
        <w:pStyle w:val="subhead"/>
        <w:numPr>
          <w:ilvl w:val="0"/>
          <w:numId w:val="0"/>
        </w:numPr>
        <w:rPr>
          <w:rFonts w:eastAsia="Times New Roman"/>
          <w:sz w:val="24"/>
          <w:szCs w:val="24"/>
          <w:lang w:eastAsia="en-GB"/>
        </w:rPr>
      </w:pPr>
      <w:r>
        <w:rPr>
          <w:rFonts w:eastAsia="Times New Roman"/>
          <w:sz w:val="24"/>
          <w:szCs w:val="24"/>
          <w:lang w:eastAsia="en-GB"/>
        </w:rPr>
        <w:lastRenderedPageBreak/>
        <w:t>I</w:t>
      </w:r>
      <w:r w:rsidR="00CD4006" w:rsidRPr="00CD4006">
        <w:rPr>
          <w:rFonts w:eastAsia="Times New Roman"/>
          <w:sz w:val="24"/>
          <w:szCs w:val="24"/>
          <w:lang w:eastAsia="en-GB"/>
        </w:rPr>
        <w:t>nvestment risk benchmarking</w:t>
      </w:r>
    </w:p>
    <w:p w:rsidR="00CD4006" w:rsidRDefault="00D630D1" w:rsidP="00D630D1">
      <w:pPr>
        <w:pStyle w:val="body"/>
        <w:ind w:left="709" w:hanging="709"/>
        <w:rPr>
          <w:spacing w:val="0"/>
          <w:sz w:val="24"/>
          <w:szCs w:val="24"/>
          <w:lang w:eastAsia="en-GB"/>
        </w:rPr>
      </w:pPr>
      <w:r>
        <w:rPr>
          <w:spacing w:val="0"/>
          <w:sz w:val="24"/>
          <w:szCs w:val="24"/>
          <w:lang w:eastAsia="en-GB"/>
        </w:rPr>
        <w:t xml:space="preserve">21. </w:t>
      </w:r>
      <w:r>
        <w:rPr>
          <w:spacing w:val="0"/>
          <w:sz w:val="24"/>
          <w:szCs w:val="24"/>
          <w:lang w:eastAsia="en-GB"/>
        </w:rPr>
        <w:tab/>
      </w:r>
      <w:r w:rsidR="00CD4006" w:rsidRPr="00D630D1">
        <w:rPr>
          <w:spacing w:val="0"/>
          <w:sz w:val="24"/>
          <w:szCs w:val="24"/>
          <w:lang w:eastAsia="en-GB"/>
        </w:rPr>
        <w:t xml:space="preserve">This Council will use an investment benchmark to assess the investment performance of its investment portfolio of </w:t>
      </w:r>
      <w:r w:rsidRPr="00D630D1">
        <w:rPr>
          <w:spacing w:val="0"/>
          <w:sz w:val="24"/>
          <w:szCs w:val="24"/>
          <w:lang w:eastAsia="en-GB"/>
        </w:rPr>
        <w:t>3</w:t>
      </w:r>
      <w:r w:rsidR="00CD4006" w:rsidRPr="00D630D1">
        <w:rPr>
          <w:spacing w:val="0"/>
          <w:sz w:val="24"/>
          <w:szCs w:val="24"/>
          <w:lang w:eastAsia="en-GB"/>
        </w:rPr>
        <w:t xml:space="preserve"> month LIBID uncompounded.</w:t>
      </w:r>
      <w:r w:rsidRPr="00D630D1">
        <w:rPr>
          <w:spacing w:val="0"/>
          <w:sz w:val="24"/>
          <w:szCs w:val="24"/>
          <w:lang w:eastAsia="en-GB"/>
        </w:rPr>
        <w:t xml:space="preserve"> </w:t>
      </w:r>
      <w:r>
        <w:rPr>
          <w:spacing w:val="0"/>
          <w:sz w:val="24"/>
          <w:szCs w:val="24"/>
          <w:lang w:eastAsia="en-GB"/>
        </w:rPr>
        <w:t xml:space="preserve">Three months is broadly comparable to the normal duration of the Council’s investments </w:t>
      </w:r>
      <w:r w:rsidRPr="00D630D1">
        <w:rPr>
          <w:spacing w:val="0"/>
          <w:sz w:val="24"/>
          <w:szCs w:val="24"/>
          <w:lang w:eastAsia="en-GB"/>
        </w:rPr>
        <w:t>The expected return for  2016/17 is currently 0.45%</w:t>
      </w:r>
      <w:r w:rsidR="00664E0D">
        <w:rPr>
          <w:spacing w:val="0"/>
          <w:sz w:val="24"/>
          <w:szCs w:val="24"/>
          <w:lang w:eastAsia="en-GB"/>
        </w:rPr>
        <w:t>.</w:t>
      </w:r>
    </w:p>
    <w:p w:rsidR="00664E0D" w:rsidRDefault="00664E0D" w:rsidP="00D630D1">
      <w:pPr>
        <w:pStyle w:val="body"/>
        <w:ind w:left="709" w:hanging="709"/>
        <w:rPr>
          <w:spacing w:val="0"/>
          <w:sz w:val="24"/>
          <w:szCs w:val="24"/>
          <w:lang w:eastAsia="en-GB"/>
        </w:rPr>
      </w:pPr>
    </w:p>
    <w:p w:rsidR="00D6535E" w:rsidRPr="00471162" w:rsidRDefault="00D6535E" w:rsidP="00D6535E">
      <w:pPr>
        <w:widowControl w:val="0"/>
        <w:tabs>
          <w:tab w:val="left" w:pos="360"/>
        </w:tabs>
        <w:rPr>
          <w:rFonts w:ascii="Arial" w:hAnsi="Arial" w:cs="Arial"/>
          <w:b/>
          <w:bCs/>
          <w:noProof/>
        </w:rPr>
      </w:pPr>
      <w:r w:rsidRPr="00471162">
        <w:rPr>
          <w:rFonts w:ascii="Arial" w:hAnsi="Arial" w:cs="Arial"/>
          <w:b/>
          <w:bCs/>
          <w:noProof/>
        </w:rPr>
        <w:t>End of year investment report</w:t>
      </w:r>
    </w:p>
    <w:p w:rsidR="00D6535E" w:rsidRPr="00471162" w:rsidRDefault="00D6535E" w:rsidP="00D6535E">
      <w:pPr>
        <w:widowControl w:val="0"/>
        <w:tabs>
          <w:tab w:val="left" w:pos="360"/>
        </w:tabs>
        <w:rPr>
          <w:rFonts w:ascii="Arial" w:hAnsi="Arial" w:cs="Arial"/>
          <w:b/>
          <w:bCs/>
          <w:noProof/>
        </w:rPr>
      </w:pPr>
    </w:p>
    <w:p w:rsidR="00D6535E" w:rsidRDefault="00D6535E" w:rsidP="00D6535E">
      <w:pPr>
        <w:ind w:left="720" w:hanging="720"/>
        <w:jc w:val="both"/>
        <w:rPr>
          <w:rFonts w:ascii="Arial" w:hAnsi="Arial" w:cs="Arial"/>
          <w:noProof/>
        </w:rPr>
      </w:pPr>
      <w:r w:rsidRPr="00471162">
        <w:rPr>
          <w:rFonts w:ascii="Arial" w:hAnsi="Arial" w:cs="Arial"/>
          <w:noProof/>
        </w:rPr>
        <w:t>2</w:t>
      </w:r>
      <w:r>
        <w:rPr>
          <w:rFonts w:ascii="Arial" w:hAnsi="Arial" w:cs="Arial"/>
          <w:noProof/>
        </w:rPr>
        <w:t>1</w:t>
      </w:r>
      <w:r w:rsidRPr="00471162">
        <w:rPr>
          <w:rFonts w:ascii="Arial" w:hAnsi="Arial" w:cs="Arial"/>
          <w:noProof/>
        </w:rPr>
        <w:t>.</w:t>
      </w:r>
      <w:r w:rsidRPr="00471162">
        <w:rPr>
          <w:rFonts w:ascii="Arial" w:hAnsi="Arial" w:cs="Arial"/>
          <w:noProof/>
        </w:rPr>
        <w:tab/>
        <w:t xml:space="preserve">At the end of the financial year, the Council will report on its investment activity as part of its Annual Treasury Report. </w:t>
      </w:r>
    </w:p>
    <w:p w:rsidR="00D6535E" w:rsidRDefault="00D6535E" w:rsidP="00D6535E">
      <w:pPr>
        <w:pStyle w:val="Default"/>
        <w:jc w:val="both"/>
        <w:rPr>
          <w:rFonts w:ascii="Arial" w:hAnsi="Arial" w:cs="Arial"/>
          <w:color w:val="4F81BD" w:themeColor="accent1"/>
        </w:rPr>
      </w:pPr>
    </w:p>
    <w:p w:rsidR="00D6535E" w:rsidRPr="0092287B" w:rsidRDefault="00D6535E" w:rsidP="00D6535E">
      <w:pPr>
        <w:widowControl w:val="0"/>
        <w:tabs>
          <w:tab w:val="left" w:pos="360"/>
        </w:tabs>
        <w:rPr>
          <w:rFonts w:ascii="Arial" w:hAnsi="Arial" w:cs="Arial"/>
          <w:b/>
          <w:bCs/>
          <w:noProof/>
        </w:rPr>
      </w:pPr>
      <w:r w:rsidRPr="0092287B">
        <w:rPr>
          <w:rFonts w:ascii="Arial" w:hAnsi="Arial" w:cs="Arial"/>
          <w:b/>
          <w:bCs/>
          <w:noProof/>
        </w:rPr>
        <w:t>Policy on the use of external service providers</w:t>
      </w:r>
    </w:p>
    <w:p w:rsidR="00D6535E" w:rsidRPr="0092287B" w:rsidRDefault="00D6535E" w:rsidP="00D6535E">
      <w:pPr>
        <w:widowControl w:val="0"/>
        <w:tabs>
          <w:tab w:val="left" w:pos="360"/>
        </w:tabs>
        <w:rPr>
          <w:rFonts w:ascii="Arial" w:hAnsi="Arial" w:cs="Arial"/>
          <w:b/>
          <w:bCs/>
          <w:noProof/>
        </w:rPr>
      </w:pPr>
    </w:p>
    <w:p w:rsidR="00D6535E" w:rsidRPr="0092287B" w:rsidRDefault="00D6535E" w:rsidP="00D6535E">
      <w:pPr>
        <w:ind w:left="720" w:hanging="720"/>
        <w:jc w:val="both"/>
        <w:rPr>
          <w:rFonts w:ascii="Arial" w:hAnsi="Arial" w:cs="Arial"/>
          <w:noProof/>
        </w:rPr>
      </w:pPr>
      <w:r>
        <w:rPr>
          <w:rFonts w:ascii="Arial" w:hAnsi="Arial" w:cs="Arial"/>
          <w:noProof/>
        </w:rPr>
        <w:t>22</w:t>
      </w:r>
      <w:r w:rsidRPr="0092287B">
        <w:rPr>
          <w:rFonts w:ascii="Arial" w:hAnsi="Arial" w:cs="Arial"/>
          <w:noProof/>
        </w:rPr>
        <w:t>.</w:t>
      </w:r>
      <w:r w:rsidRPr="0092287B">
        <w:rPr>
          <w:rFonts w:ascii="Arial" w:hAnsi="Arial" w:cs="Arial"/>
          <w:noProof/>
        </w:rPr>
        <w:tab/>
        <w:t>The Council uses Capita Asset Services, Treasury solutions (formerly known as “Sector”) as its external treasury management advisors.</w:t>
      </w:r>
    </w:p>
    <w:p w:rsidR="00D6535E" w:rsidRPr="0092287B" w:rsidRDefault="00D6535E" w:rsidP="00D6535E">
      <w:pPr>
        <w:ind w:left="720" w:hanging="720"/>
        <w:jc w:val="both"/>
        <w:rPr>
          <w:rFonts w:ascii="Arial" w:hAnsi="Arial" w:cs="Arial"/>
          <w:noProof/>
        </w:rPr>
      </w:pPr>
      <w:r>
        <w:rPr>
          <w:rFonts w:ascii="Arial" w:hAnsi="Arial" w:cs="Arial"/>
          <w:noProof/>
        </w:rPr>
        <w:t>23</w:t>
      </w:r>
      <w:r w:rsidRPr="0092287B">
        <w:rPr>
          <w:rFonts w:ascii="Arial" w:hAnsi="Arial" w:cs="Arial"/>
          <w:noProof/>
        </w:rPr>
        <w:t>.</w:t>
      </w:r>
      <w:r w:rsidRPr="0092287B">
        <w:rPr>
          <w:rFonts w:ascii="Arial" w:hAnsi="Arial" w:cs="Arial"/>
          <w:noProof/>
        </w:rPr>
        <w:tab/>
        <w:t xml:space="preserve">The Council recognises that responsibility for treasury management decisions remains with the organisation at all times and will ensure that undue reliance is not placed upon our external service providers. </w:t>
      </w:r>
    </w:p>
    <w:p w:rsidR="00D6535E" w:rsidRPr="00F3704E" w:rsidRDefault="00D6535E" w:rsidP="00D6535E">
      <w:pPr>
        <w:ind w:hanging="720"/>
        <w:jc w:val="both"/>
        <w:rPr>
          <w:rFonts w:ascii="Arial" w:hAnsi="Arial" w:cs="Arial"/>
          <w:noProof/>
          <w:color w:val="4F81BD" w:themeColor="accent1"/>
        </w:rPr>
      </w:pPr>
    </w:p>
    <w:p w:rsidR="00D6535E" w:rsidRPr="0092287B" w:rsidRDefault="00D6535E" w:rsidP="00D6535E">
      <w:pPr>
        <w:ind w:left="720" w:hanging="720"/>
        <w:jc w:val="both"/>
        <w:rPr>
          <w:rFonts w:ascii="Arial" w:hAnsi="Arial" w:cs="Arial"/>
          <w:noProof/>
        </w:rPr>
      </w:pPr>
      <w:r>
        <w:rPr>
          <w:rFonts w:ascii="Arial" w:hAnsi="Arial" w:cs="Arial"/>
          <w:noProof/>
        </w:rPr>
        <w:t>24</w:t>
      </w:r>
      <w:r w:rsidRPr="0092287B">
        <w:rPr>
          <w:rFonts w:ascii="Arial" w:hAnsi="Arial" w:cs="Arial"/>
          <w:noProof/>
        </w:rPr>
        <w:t>.</w:t>
      </w:r>
      <w:r w:rsidRPr="0092287B">
        <w:rPr>
          <w:rFonts w:ascii="Arial" w:hAnsi="Arial" w:cs="Arial"/>
          <w:noProof/>
        </w:rPr>
        <w:tab/>
        <w:t>It also recognises that there is value in employing external providers of treasury management services in order to acquire access to specialist skills and resources. The Council will ensure that the terms of their appointment and the methods by which their value will be assessed are properly agreed and documented, and subjected to regular review.</w:t>
      </w:r>
    </w:p>
    <w:p w:rsidR="00D6535E" w:rsidRPr="00F3704E" w:rsidRDefault="00D6535E" w:rsidP="00D6535E">
      <w:pPr>
        <w:widowControl w:val="0"/>
        <w:tabs>
          <w:tab w:val="left" w:pos="360"/>
        </w:tabs>
        <w:rPr>
          <w:rFonts w:ascii="Arial" w:hAnsi="Arial" w:cs="Arial"/>
          <w:b/>
          <w:bCs/>
          <w:noProof/>
          <w:color w:val="4F81BD" w:themeColor="accent1"/>
        </w:rPr>
      </w:pPr>
    </w:p>
    <w:p w:rsidR="00D6535E" w:rsidRPr="001E04D1" w:rsidRDefault="00D6535E" w:rsidP="00D6535E">
      <w:pPr>
        <w:widowControl w:val="0"/>
        <w:tabs>
          <w:tab w:val="left" w:pos="360"/>
        </w:tabs>
        <w:rPr>
          <w:rFonts w:ascii="Arial" w:hAnsi="Arial" w:cs="Arial"/>
          <w:b/>
          <w:bCs/>
          <w:noProof/>
        </w:rPr>
      </w:pPr>
      <w:r w:rsidRPr="001E04D1">
        <w:rPr>
          <w:rFonts w:ascii="Arial" w:hAnsi="Arial" w:cs="Arial"/>
          <w:b/>
          <w:bCs/>
          <w:noProof/>
        </w:rPr>
        <w:t>Scheme of delegation</w:t>
      </w:r>
    </w:p>
    <w:p w:rsidR="00D6535E" w:rsidRPr="001E04D1" w:rsidRDefault="00D6535E" w:rsidP="00D6535E">
      <w:pPr>
        <w:widowControl w:val="0"/>
        <w:tabs>
          <w:tab w:val="left" w:pos="360"/>
        </w:tabs>
        <w:rPr>
          <w:rFonts w:ascii="Arial" w:hAnsi="Arial" w:cs="Arial"/>
          <w:b/>
          <w:bCs/>
          <w:noProof/>
        </w:rPr>
      </w:pPr>
    </w:p>
    <w:p w:rsidR="00D6535E" w:rsidRPr="001E04D1" w:rsidRDefault="00D6535E" w:rsidP="00D6535E">
      <w:pPr>
        <w:autoSpaceDE w:val="0"/>
        <w:autoSpaceDN w:val="0"/>
        <w:adjustRightInd w:val="0"/>
        <w:jc w:val="both"/>
        <w:rPr>
          <w:rFonts w:ascii="Arial" w:hAnsi="Arial" w:cs="Arial"/>
          <w:noProof/>
        </w:rPr>
      </w:pPr>
      <w:r>
        <w:rPr>
          <w:rFonts w:ascii="Arial" w:hAnsi="Arial" w:cs="Arial"/>
          <w:noProof/>
        </w:rPr>
        <w:t>25</w:t>
      </w:r>
      <w:r w:rsidRPr="001E04D1">
        <w:rPr>
          <w:rFonts w:ascii="Arial" w:hAnsi="Arial" w:cs="Arial"/>
          <w:noProof/>
        </w:rPr>
        <w:t>.</w:t>
      </w:r>
      <w:r w:rsidRPr="001E04D1">
        <w:rPr>
          <w:rFonts w:ascii="Arial" w:hAnsi="Arial" w:cs="Arial"/>
          <w:noProof/>
        </w:rPr>
        <w:tab/>
        <w:t>Please see Appendix 5.</w:t>
      </w:r>
    </w:p>
    <w:p w:rsidR="00D6535E" w:rsidRPr="001E04D1" w:rsidRDefault="00D6535E" w:rsidP="00D6535E">
      <w:pPr>
        <w:autoSpaceDE w:val="0"/>
        <w:autoSpaceDN w:val="0"/>
        <w:adjustRightInd w:val="0"/>
        <w:jc w:val="both"/>
        <w:rPr>
          <w:rFonts w:ascii="Arial" w:hAnsi="Arial" w:cs="Arial"/>
          <w:i/>
          <w:iCs/>
          <w:noProof/>
          <w:lang w:eastAsia="en-GB"/>
        </w:rPr>
      </w:pPr>
    </w:p>
    <w:p w:rsidR="00D6535E" w:rsidRPr="001E04D1" w:rsidRDefault="00D6535E" w:rsidP="00D6535E">
      <w:pPr>
        <w:widowControl w:val="0"/>
        <w:tabs>
          <w:tab w:val="left" w:pos="360"/>
        </w:tabs>
        <w:rPr>
          <w:rFonts w:ascii="Arial" w:hAnsi="Arial" w:cs="Arial"/>
          <w:b/>
          <w:bCs/>
          <w:noProof/>
        </w:rPr>
      </w:pPr>
      <w:r w:rsidRPr="001E04D1">
        <w:rPr>
          <w:rFonts w:ascii="Arial" w:hAnsi="Arial" w:cs="Arial"/>
          <w:b/>
          <w:bCs/>
          <w:noProof/>
        </w:rPr>
        <w:t xml:space="preserve">Role of the </w:t>
      </w:r>
      <w:r>
        <w:rPr>
          <w:rFonts w:ascii="Arial" w:hAnsi="Arial" w:cs="Arial"/>
          <w:b/>
          <w:bCs/>
          <w:noProof/>
        </w:rPr>
        <w:t>S</w:t>
      </w:r>
      <w:r w:rsidRPr="001E04D1">
        <w:rPr>
          <w:rFonts w:ascii="Arial" w:hAnsi="Arial" w:cs="Arial"/>
          <w:b/>
          <w:bCs/>
          <w:noProof/>
        </w:rPr>
        <w:t xml:space="preserve">ection 151 </w:t>
      </w:r>
      <w:r>
        <w:rPr>
          <w:rFonts w:ascii="Arial" w:hAnsi="Arial" w:cs="Arial"/>
          <w:b/>
          <w:bCs/>
          <w:noProof/>
        </w:rPr>
        <w:t>O</w:t>
      </w:r>
      <w:r w:rsidRPr="001E04D1">
        <w:rPr>
          <w:rFonts w:ascii="Arial" w:hAnsi="Arial" w:cs="Arial"/>
          <w:b/>
          <w:bCs/>
          <w:noProof/>
        </w:rPr>
        <w:t>fficer</w:t>
      </w:r>
    </w:p>
    <w:p w:rsidR="00D6535E" w:rsidRPr="001E04D1" w:rsidRDefault="00D6535E" w:rsidP="00D6535E">
      <w:pPr>
        <w:widowControl w:val="0"/>
        <w:tabs>
          <w:tab w:val="left" w:pos="360"/>
        </w:tabs>
        <w:rPr>
          <w:rFonts w:ascii="Arial" w:hAnsi="Arial" w:cs="Arial"/>
          <w:b/>
          <w:bCs/>
          <w:noProof/>
        </w:rPr>
      </w:pPr>
    </w:p>
    <w:p w:rsidR="00D6535E" w:rsidRPr="001E04D1" w:rsidRDefault="00D6535E" w:rsidP="00D6535E">
      <w:pPr>
        <w:autoSpaceDE w:val="0"/>
        <w:autoSpaceDN w:val="0"/>
        <w:adjustRightInd w:val="0"/>
        <w:jc w:val="both"/>
        <w:rPr>
          <w:rFonts w:ascii="Arial" w:hAnsi="Arial" w:cs="Arial"/>
          <w:b/>
          <w:bCs/>
          <w:noProof/>
          <w:lang w:eastAsia="en-GB"/>
        </w:rPr>
      </w:pPr>
      <w:r>
        <w:rPr>
          <w:rFonts w:ascii="Arial" w:hAnsi="Arial" w:cs="Arial"/>
          <w:noProof/>
        </w:rPr>
        <w:t>26</w:t>
      </w:r>
      <w:r w:rsidRPr="001E04D1">
        <w:rPr>
          <w:rFonts w:ascii="Arial" w:hAnsi="Arial" w:cs="Arial"/>
          <w:noProof/>
        </w:rPr>
        <w:t>.</w:t>
      </w:r>
      <w:r w:rsidRPr="001E04D1">
        <w:rPr>
          <w:rFonts w:ascii="Arial" w:hAnsi="Arial" w:cs="Arial"/>
          <w:noProof/>
        </w:rPr>
        <w:tab/>
        <w:t>Please see Appendix  6.</w:t>
      </w:r>
    </w:p>
    <w:p w:rsidR="00D6535E" w:rsidRPr="008B70EA" w:rsidRDefault="00D6535E" w:rsidP="00D6535E">
      <w:pPr>
        <w:pageBreakBefore/>
        <w:autoSpaceDE w:val="0"/>
        <w:autoSpaceDN w:val="0"/>
        <w:adjustRightInd w:val="0"/>
        <w:jc w:val="both"/>
        <w:rPr>
          <w:rFonts w:ascii="Arial" w:hAnsi="Arial" w:cs="Arial"/>
          <w:b/>
          <w:bCs/>
          <w:noProof/>
          <w:color w:val="000000" w:themeColor="text1"/>
        </w:rPr>
      </w:pPr>
      <w:r w:rsidRPr="008B70EA">
        <w:rPr>
          <w:rFonts w:ascii="Arial" w:hAnsi="Arial" w:cs="Arial"/>
          <w:b/>
          <w:bCs/>
          <w:noProof/>
          <w:color w:val="000000" w:themeColor="text1"/>
        </w:rPr>
        <w:lastRenderedPageBreak/>
        <w:t xml:space="preserve">Appendices </w:t>
      </w:r>
    </w:p>
    <w:p w:rsidR="00D6535E" w:rsidRDefault="00D6535E" w:rsidP="00D6535E">
      <w:pPr>
        <w:autoSpaceDE w:val="0"/>
        <w:autoSpaceDN w:val="0"/>
        <w:adjustRightInd w:val="0"/>
        <w:jc w:val="both"/>
        <w:rPr>
          <w:rFonts w:ascii="Arial" w:hAnsi="Arial" w:cs="Arial"/>
          <w:noProof/>
          <w:color w:val="000000" w:themeColor="text1"/>
          <w:lang w:eastAsia="en-GB"/>
        </w:rPr>
      </w:pPr>
    </w:p>
    <w:p w:rsidR="00D6535E" w:rsidRPr="008B70EA" w:rsidRDefault="00D6535E" w:rsidP="00D6535E">
      <w:pPr>
        <w:autoSpaceDE w:val="0"/>
        <w:autoSpaceDN w:val="0"/>
        <w:adjustRightInd w:val="0"/>
        <w:jc w:val="both"/>
        <w:rPr>
          <w:rFonts w:ascii="Arial" w:hAnsi="Arial" w:cs="Arial"/>
          <w:noProof/>
          <w:color w:val="000000" w:themeColor="text1"/>
          <w:lang w:eastAsia="en-GB"/>
        </w:rPr>
      </w:pPr>
    </w:p>
    <w:p w:rsidR="00D6535E" w:rsidRPr="008B70EA" w:rsidRDefault="00D6535E" w:rsidP="00D6535E">
      <w:pPr>
        <w:numPr>
          <w:ilvl w:val="1"/>
          <w:numId w:val="2"/>
        </w:numPr>
        <w:tabs>
          <w:tab w:val="clear" w:pos="1440"/>
        </w:tabs>
        <w:autoSpaceDE w:val="0"/>
        <w:autoSpaceDN w:val="0"/>
        <w:adjustRightInd w:val="0"/>
        <w:spacing w:line="360" w:lineRule="auto"/>
        <w:ind w:left="720" w:hanging="720"/>
        <w:jc w:val="both"/>
        <w:rPr>
          <w:rFonts w:ascii="Arial" w:hAnsi="Arial" w:cs="Arial"/>
          <w:noProof/>
          <w:color w:val="000000" w:themeColor="text1"/>
          <w:lang w:eastAsia="en-GB"/>
        </w:rPr>
      </w:pPr>
      <w:r>
        <w:rPr>
          <w:rFonts w:ascii="Arial" w:hAnsi="Arial" w:cs="Arial"/>
          <w:noProof/>
          <w:color w:val="000000" w:themeColor="text1"/>
          <w:lang w:eastAsia="en-GB"/>
        </w:rPr>
        <w:t>Interest R</w:t>
      </w:r>
      <w:r w:rsidRPr="008B70EA">
        <w:rPr>
          <w:rFonts w:ascii="Arial" w:hAnsi="Arial" w:cs="Arial"/>
          <w:noProof/>
          <w:color w:val="000000" w:themeColor="text1"/>
          <w:lang w:eastAsia="en-GB"/>
        </w:rPr>
        <w:t xml:space="preserve">ate </w:t>
      </w:r>
      <w:r>
        <w:rPr>
          <w:rFonts w:ascii="Arial" w:hAnsi="Arial" w:cs="Arial"/>
          <w:noProof/>
          <w:color w:val="000000" w:themeColor="text1"/>
          <w:lang w:eastAsia="en-GB"/>
        </w:rPr>
        <w:t>F</w:t>
      </w:r>
      <w:r w:rsidRPr="008B70EA">
        <w:rPr>
          <w:rFonts w:ascii="Arial" w:hAnsi="Arial" w:cs="Arial"/>
          <w:noProof/>
          <w:color w:val="000000" w:themeColor="text1"/>
          <w:lang w:eastAsia="en-GB"/>
        </w:rPr>
        <w:t>orecasts</w:t>
      </w:r>
    </w:p>
    <w:p w:rsidR="00D6535E" w:rsidRPr="008B70EA" w:rsidRDefault="00D6535E" w:rsidP="00D6535E">
      <w:pPr>
        <w:numPr>
          <w:ilvl w:val="1"/>
          <w:numId w:val="2"/>
        </w:numPr>
        <w:tabs>
          <w:tab w:val="clear" w:pos="1440"/>
        </w:tabs>
        <w:autoSpaceDE w:val="0"/>
        <w:autoSpaceDN w:val="0"/>
        <w:adjustRightInd w:val="0"/>
        <w:spacing w:line="360" w:lineRule="auto"/>
        <w:ind w:left="720" w:hanging="720"/>
        <w:jc w:val="both"/>
        <w:rPr>
          <w:rFonts w:ascii="Arial" w:hAnsi="Arial" w:cs="Arial"/>
          <w:noProof/>
          <w:color w:val="000000" w:themeColor="text1"/>
          <w:lang w:eastAsia="en-GB"/>
        </w:rPr>
      </w:pPr>
      <w:r w:rsidRPr="008B70EA">
        <w:rPr>
          <w:rFonts w:ascii="Arial" w:hAnsi="Arial" w:cs="Arial"/>
          <w:noProof/>
          <w:color w:val="000000" w:themeColor="text1"/>
          <w:lang w:eastAsia="en-GB"/>
        </w:rPr>
        <w:t xml:space="preserve">Economic </w:t>
      </w:r>
      <w:r>
        <w:rPr>
          <w:rFonts w:ascii="Arial" w:hAnsi="Arial" w:cs="Arial"/>
          <w:noProof/>
          <w:color w:val="000000" w:themeColor="text1"/>
          <w:lang w:eastAsia="en-GB"/>
        </w:rPr>
        <w:t>B</w:t>
      </w:r>
      <w:r w:rsidRPr="008B70EA">
        <w:rPr>
          <w:rFonts w:ascii="Arial" w:hAnsi="Arial" w:cs="Arial"/>
          <w:noProof/>
          <w:color w:val="000000" w:themeColor="text1"/>
          <w:lang w:eastAsia="en-GB"/>
        </w:rPr>
        <w:t>ackground</w:t>
      </w:r>
    </w:p>
    <w:p w:rsidR="00D6535E" w:rsidRPr="008B70EA" w:rsidRDefault="00D6535E" w:rsidP="00D6535E">
      <w:pPr>
        <w:numPr>
          <w:ilvl w:val="1"/>
          <w:numId w:val="2"/>
        </w:numPr>
        <w:tabs>
          <w:tab w:val="clear" w:pos="1440"/>
        </w:tabs>
        <w:autoSpaceDE w:val="0"/>
        <w:autoSpaceDN w:val="0"/>
        <w:adjustRightInd w:val="0"/>
        <w:spacing w:line="360" w:lineRule="auto"/>
        <w:ind w:left="720" w:hanging="720"/>
        <w:jc w:val="both"/>
        <w:rPr>
          <w:rFonts w:ascii="Arial" w:hAnsi="Arial" w:cs="Arial"/>
          <w:noProof/>
          <w:color w:val="000000" w:themeColor="text1"/>
          <w:lang w:eastAsia="en-GB"/>
        </w:rPr>
      </w:pPr>
      <w:r w:rsidRPr="008B70EA">
        <w:rPr>
          <w:rFonts w:ascii="Arial" w:hAnsi="Arial" w:cs="Arial"/>
          <w:noProof/>
          <w:color w:val="000000" w:themeColor="text1"/>
        </w:rPr>
        <w:t>Treasury Management Practice – Credit and Counterparty Risk</w:t>
      </w:r>
    </w:p>
    <w:p w:rsidR="00D6535E" w:rsidRPr="008B70EA" w:rsidRDefault="00D6535E" w:rsidP="00D6535E">
      <w:pPr>
        <w:numPr>
          <w:ilvl w:val="1"/>
          <w:numId w:val="2"/>
        </w:numPr>
        <w:tabs>
          <w:tab w:val="clear" w:pos="1440"/>
        </w:tabs>
        <w:autoSpaceDE w:val="0"/>
        <w:autoSpaceDN w:val="0"/>
        <w:adjustRightInd w:val="0"/>
        <w:spacing w:line="360" w:lineRule="auto"/>
        <w:ind w:left="720" w:hanging="720"/>
        <w:jc w:val="both"/>
        <w:rPr>
          <w:rFonts w:ascii="Arial" w:hAnsi="Arial" w:cs="Arial"/>
          <w:noProof/>
          <w:color w:val="000000" w:themeColor="text1"/>
          <w:lang w:eastAsia="en-GB"/>
        </w:rPr>
      </w:pPr>
      <w:r w:rsidRPr="008B70EA">
        <w:rPr>
          <w:rFonts w:ascii="Arial" w:hAnsi="Arial" w:cs="Arial"/>
          <w:noProof/>
          <w:color w:val="000000" w:themeColor="text1"/>
          <w:lang w:eastAsia="en-GB"/>
        </w:rPr>
        <w:t xml:space="preserve">Approved </w:t>
      </w:r>
      <w:r>
        <w:rPr>
          <w:rFonts w:ascii="Arial" w:hAnsi="Arial" w:cs="Arial"/>
          <w:noProof/>
          <w:color w:val="000000" w:themeColor="text1"/>
          <w:lang w:eastAsia="en-GB"/>
        </w:rPr>
        <w:t>C</w:t>
      </w:r>
      <w:r w:rsidRPr="008B70EA">
        <w:rPr>
          <w:rFonts w:ascii="Arial" w:hAnsi="Arial" w:cs="Arial"/>
          <w:noProof/>
          <w:color w:val="000000" w:themeColor="text1"/>
          <w:lang w:eastAsia="en-GB"/>
        </w:rPr>
        <w:t xml:space="preserve">ountries for </w:t>
      </w:r>
      <w:r>
        <w:rPr>
          <w:rFonts w:ascii="Arial" w:hAnsi="Arial" w:cs="Arial"/>
          <w:noProof/>
          <w:color w:val="000000" w:themeColor="text1"/>
          <w:lang w:eastAsia="en-GB"/>
        </w:rPr>
        <w:t>I</w:t>
      </w:r>
      <w:r w:rsidRPr="008B70EA">
        <w:rPr>
          <w:rFonts w:ascii="Arial" w:hAnsi="Arial" w:cs="Arial"/>
          <w:noProof/>
          <w:color w:val="000000" w:themeColor="text1"/>
          <w:lang w:eastAsia="en-GB"/>
        </w:rPr>
        <w:t>nvestments</w:t>
      </w:r>
    </w:p>
    <w:p w:rsidR="00D6535E" w:rsidRPr="008B70EA" w:rsidRDefault="00D6535E" w:rsidP="00D6535E">
      <w:pPr>
        <w:numPr>
          <w:ilvl w:val="1"/>
          <w:numId w:val="2"/>
        </w:numPr>
        <w:tabs>
          <w:tab w:val="clear" w:pos="1440"/>
        </w:tabs>
        <w:autoSpaceDE w:val="0"/>
        <w:autoSpaceDN w:val="0"/>
        <w:adjustRightInd w:val="0"/>
        <w:spacing w:line="360" w:lineRule="auto"/>
        <w:ind w:left="720" w:hanging="720"/>
        <w:jc w:val="both"/>
        <w:rPr>
          <w:rFonts w:ascii="Arial" w:hAnsi="Arial" w:cs="Arial"/>
          <w:noProof/>
          <w:color w:val="000000" w:themeColor="text1"/>
          <w:lang w:eastAsia="en-GB"/>
        </w:rPr>
      </w:pPr>
      <w:r>
        <w:rPr>
          <w:rFonts w:ascii="Arial" w:hAnsi="Arial" w:cs="Arial"/>
          <w:noProof/>
          <w:color w:val="000000" w:themeColor="text1"/>
          <w:lang w:eastAsia="en-GB"/>
        </w:rPr>
        <w:t>Treasury Management S</w:t>
      </w:r>
      <w:r w:rsidRPr="008B70EA">
        <w:rPr>
          <w:rFonts w:ascii="Arial" w:hAnsi="Arial" w:cs="Arial"/>
          <w:noProof/>
          <w:color w:val="000000" w:themeColor="text1"/>
          <w:lang w:eastAsia="en-GB"/>
        </w:rPr>
        <w:t xml:space="preserve">cheme of </w:t>
      </w:r>
      <w:r>
        <w:rPr>
          <w:rFonts w:ascii="Arial" w:hAnsi="Arial" w:cs="Arial"/>
          <w:noProof/>
          <w:color w:val="000000" w:themeColor="text1"/>
          <w:lang w:eastAsia="en-GB"/>
        </w:rPr>
        <w:t>D</w:t>
      </w:r>
      <w:r w:rsidRPr="008B70EA">
        <w:rPr>
          <w:rFonts w:ascii="Arial" w:hAnsi="Arial" w:cs="Arial"/>
          <w:noProof/>
          <w:color w:val="000000" w:themeColor="text1"/>
          <w:lang w:eastAsia="en-GB"/>
        </w:rPr>
        <w:t>elegation</w:t>
      </w:r>
    </w:p>
    <w:p w:rsidR="00D6535E" w:rsidRPr="008B70EA" w:rsidRDefault="00D6535E" w:rsidP="00D6535E">
      <w:pPr>
        <w:numPr>
          <w:ilvl w:val="1"/>
          <w:numId w:val="2"/>
        </w:numPr>
        <w:tabs>
          <w:tab w:val="clear" w:pos="1440"/>
        </w:tabs>
        <w:autoSpaceDE w:val="0"/>
        <w:autoSpaceDN w:val="0"/>
        <w:adjustRightInd w:val="0"/>
        <w:spacing w:line="360" w:lineRule="auto"/>
        <w:ind w:left="720" w:hanging="720"/>
        <w:jc w:val="both"/>
        <w:rPr>
          <w:rFonts w:ascii="Arial" w:hAnsi="Arial" w:cs="Arial"/>
          <w:noProof/>
          <w:color w:val="000000" w:themeColor="text1"/>
          <w:lang w:eastAsia="en-GB"/>
        </w:rPr>
      </w:pPr>
      <w:r>
        <w:rPr>
          <w:rFonts w:ascii="Arial" w:hAnsi="Arial" w:cs="Arial"/>
          <w:noProof/>
          <w:color w:val="000000" w:themeColor="text1"/>
          <w:lang w:eastAsia="en-GB"/>
        </w:rPr>
        <w:t>The Treasury M</w:t>
      </w:r>
      <w:r w:rsidRPr="008B70EA">
        <w:rPr>
          <w:rFonts w:ascii="Arial" w:hAnsi="Arial" w:cs="Arial"/>
          <w:noProof/>
          <w:color w:val="000000" w:themeColor="text1"/>
          <w:lang w:eastAsia="en-GB"/>
        </w:rPr>
        <w:t>anagemen</w:t>
      </w:r>
      <w:r>
        <w:rPr>
          <w:rFonts w:ascii="Arial" w:hAnsi="Arial" w:cs="Arial"/>
          <w:noProof/>
          <w:color w:val="000000" w:themeColor="text1"/>
          <w:lang w:eastAsia="en-GB"/>
        </w:rPr>
        <w:t>t Role of the S</w:t>
      </w:r>
      <w:r w:rsidRPr="008B70EA">
        <w:rPr>
          <w:rFonts w:ascii="Arial" w:hAnsi="Arial" w:cs="Arial"/>
          <w:noProof/>
          <w:color w:val="000000" w:themeColor="text1"/>
          <w:lang w:eastAsia="en-GB"/>
        </w:rPr>
        <w:t xml:space="preserve">ection 151 </w:t>
      </w:r>
      <w:r>
        <w:rPr>
          <w:rFonts w:ascii="Arial" w:hAnsi="Arial" w:cs="Arial"/>
          <w:noProof/>
          <w:color w:val="000000" w:themeColor="text1"/>
          <w:lang w:eastAsia="en-GB"/>
        </w:rPr>
        <w:t>O</w:t>
      </w:r>
      <w:r w:rsidRPr="008B70EA">
        <w:rPr>
          <w:rFonts w:ascii="Arial" w:hAnsi="Arial" w:cs="Arial"/>
          <w:noProof/>
          <w:color w:val="000000" w:themeColor="text1"/>
          <w:lang w:eastAsia="en-GB"/>
        </w:rPr>
        <w:t>fficer</w:t>
      </w:r>
    </w:p>
    <w:p w:rsidR="00D6535E" w:rsidRPr="00F3704E" w:rsidRDefault="00D6535E" w:rsidP="00D6535E">
      <w:pPr>
        <w:autoSpaceDE w:val="0"/>
        <w:autoSpaceDN w:val="0"/>
        <w:adjustRightInd w:val="0"/>
        <w:ind w:left="1134" w:hanging="1134"/>
        <w:jc w:val="both"/>
        <w:rPr>
          <w:rFonts w:ascii="Arial" w:hAnsi="Arial" w:cs="Arial"/>
          <w:noProof/>
          <w:color w:val="4F81BD" w:themeColor="accent1"/>
          <w:lang w:eastAsia="en-GB"/>
        </w:rPr>
      </w:pPr>
    </w:p>
    <w:p w:rsidR="00D6535E" w:rsidRPr="00F3704E" w:rsidRDefault="00D6535E" w:rsidP="00D6535E">
      <w:pPr>
        <w:autoSpaceDE w:val="0"/>
        <w:autoSpaceDN w:val="0"/>
        <w:adjustRightInd w:val="0"/>
        <w:ind w:left="1134" w:hanging="1134"/>
        <w:jc w:val="both"/>
        <w:rPr>
          <w:noProof/>
          <w:color w:val="4F81BD" w:themeColor="accent1"/>
          <w:lang w:eastAsia="en-GB"/>
        </w:rPr>
      </w:pPr>
    </w:p>
    <w:p w:rsidR="00D6535E" w:rsidRPr="00F3704E" w:rsidRDefault="00D6535E" w:rsidP="00D6535E">
      <w:pPr>
        <w:autoSpaceDE w:val="0"/>
        <w:autoSpaceDN w:val="0"/>
        <w:adjustRightInd w:val="0"/>
        <w:ind w:left="1134" w:hanging="1134"/>
        <w:jc w:val="both"/>
        <w:rPr>
          <w:noProof/>
          <w:color w:val="4F81BD" w:themeColor="accent1"/>
          <w:lang w:eastAsia="en-GB"/>
        </w:rPr>
      </w:pPr>
    </w:p>
    <w:p w:rsidR="00D6535E" w:rsidRPr="00F3704E" w:rsidRDefault="00D6535E" w:rsidP="00D6535E">
      <w:pPr>
        <w:spacing w:before="120" w:after="240"/>
        <w:jc w:val="both"/>
        <w:rPr>
          <w:rFonts w:ascii="Bliss 2 Regular" w:hAnsi="Bliss 2 Regular" w:cs="Bliss 2 Regular"/>
          <w:noProof/>
          <w:color w:val="4F81BD" w:themeColor="accent1"/>
        </w:rPr>
        <w:sectPr w:rsidR="00D6535E" w:rsidRPr="00F3704E" w:rsidSect="00EC2A2D">
          <w:headerReference w:type="default" r:id="rId10"/>
          <w:footerReference w:type="default" r:id="rId11"/>
          <w:footerReference w:type="first" r:id="rId12"/>
          <w:pgSz w:w="11906" w:h="16838" w:code="9"/>
          <w:pgMar w:top="720" w:right="1440" w:bottom="720" w:left="1440" w:header="576" w:footer="576" w:gutter="0"/>
          <w:cols w:space="708"/>
          <w:docGrid w:linePitch="360"/>
        </w:sectPr>
      </w:pPr>
    </w:p>
    <w:bookmarkStart w:id="2" w:name="_Toc338669423"/>
    <w:p w:rsidR="00B12674" w:rsidRPr="00B12674" w:rsidRDefault="00EC2A2D" w:rsidP="00B12674">
      <w:pPr>
        <w:pStyle w:val="subhead"/>
        <w:numPr>
          <w:ilvl w:val="0"/>
          <w:numId w:val="0"/>
        </w:numPr>
        <w:ind w:left="360" w:hanging="360"/>
        <w:jc w:val="left"/>
      </w:pPr>
      <w:r w:rsidRPr="00EC2A2D">
        <w:rPr>
          <w:sz w:val="24"/>
          <w:szCs w:val="24"/>
          <w:lang w:eastAsia="en-GB"/>
        </w:rPr>
        <w:lastRenderedPageBreak/>
        <mc:AlternateContent>
          <mc:Choice Requires="wps">
            <w:drawing>
              <wp:anchor distT="0" distB="0" distL="114300" distR="114300" simplePos="0" relativeHeight="251661312" behindDoc="0" locked="0" layoutInCell="1" allowOverlap="1" wp14:anchorId="3AFB040E" wp14:editId="4AD75731">
                <wp:simplePos x="0" y="0"/>
                <wp:positionH relativeFrom="column">
                  <wp:posOffset>8788400</wp:posOffset>
                </wp:positionH>
                <wp:positionV relativeFrom="paragraph">
                  <wp:posOffset>-685800</wp:posOffset>
                </wp:positionV>
                <wp:extent cx="1153160" cy="3619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361950"/>
                        </a:xfrm>
                        <a:prstGeom prst="rect">
                          <a:avLst/>
                        </a:prstGeom>
                        <a:solidFill>
                          <a:srgbClr val="FFFFFF"/>
                        </a:solidFill>
                        <a:ln w="9525">
                          <a:noFill/>
                          <a:miter lim="800000"/>
                          <a:headEnd/>
                          <a:tailEnd/>
                        </a:ln>
                      </wps:spPr>
                      <wps:txbx>
                        <w:txbxContent>
                          <w:p w:rsidR="00EC2A2D" w:rsidRPr="00EC2A2D" w:rsidRDefault="00EC2A2D">
                            <w:pPr>
                              <w:rPr>
                                <w:rFonts w:ascii="Arial" w:hAnsi="Arial" w:cs="Arial"/>
                                <w:b/>
                              </w:rPr>
                            </w:pPr>
                            <w:r w:rsidRPr="00EC2A2D">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2pt;margin-top:-54pt;width:90.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" stroked="f">
                <v:textbox>
                  <w:txbxContent>
                    <w:p w:rsidR="00EC2A2D" w:rsidRPr="00EC2A2D" w:rsidRDefault="00EC2A2D">
                      <w:pPr>
                        <w:rPr>
                          <w:rFonts w:ascii="Arial" w:hAnsi="Arial" w:cs="Arial"/>
                          <w:b/>
                        </w:rPr>
                      </w:pPr>
                      <w:r w:rsidRPr="00EC2A2D">
                        <w:rPr>
                          <w:rFonts w:ascii="Arial" w:hAnsi="Arial" w:cs="Arial"/>
                          <w:b/>
                        </w:rPr>
                        <w:t>Appendix 1</w:t>
                      </w:r>
                    </w:p>
                  </w:txbxContent>
                </v:textbox>
              </v:shape>
            </w:pict>
          </mc:Fallback>
        </mc:AlternateContent>
      </w:r>
      <w:r w:rsidR="00B12674">
        <w:rPr>
          <w:sz w:val="24"/>
          <w:szCs w:val="24"/>
        </w:rPr>
        <w:t>I</w:t>
      </w:r>
      <w:r w:rsidR="00D6535E" w:rsidRPr="009D1A51">
        <w:rPr>
          <w:sz w:val="24"/>
          <w:szCs w:val="24"/>
        </w:rPr>
        <w:t xml:space="preserve">nterest Rate Forecasts </w:t>
      </w:r>
      <w:r w:rsidR="00B12674">
        <w:rPr>
          <w:sz w:val="24"/>
          <w:szCs w:val="24"/>
        </w:rPr>
        <w:t>– Capita Asset Services and Capital Economics</w:t>
      </w:r>
      <w:r w:rsidR="00D6535E" w:rsidRPr="009D1A51">
        <w:rPr>
          <w:sz w:val="24"/>
          <w:szCs w:val="24"/>
        </w:rPr>
        <w:t xml:space="preserve">    </w:t>
      </w:r>
      <w:r w:rsidR="00D6535E">
        <w:rPr>
          <w:sz w:val="24"/>
          <w:szCs w:val="24"/>
        </w:rPr>
        <w:t xml:space="preserve">                                                                        </w:t>
      </w:r>
      <w:r w:rsidR="00D6535E" w:rsidRPr="009D1A51">
        <w:rPr>
          <w:sz w:val="24"/>
          <w:szCs w:val="24"/>
        </w:rPr>
        <w:t xml:space="preserve">  </w:t>
      </w:r>
      <w:r w:rsidR="00B12674">
        <w:rPr>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4"/>
        <w:gridCol w:w="1276"/>
        <w:gridCol w:w="1843"/>
        <w:gridCol w:w="1701"/>
        <w:gridCol w:w="1842"/>
      </w:tblGrid>
      <w:tr w:rsidR="00B12674" w:rsidRPr="00670B8D" w:rsidTr="00EC2A2D">
        <w:tc>
          <w:tcPr>
            <w:tcW w:w="2268" w:type="dxa"/>
            <w:tcBorders>
              <w:top w:val="single" w:sz="12" w:space="0" w:color="auto"/>
              <w:left w:val="single" w:sz="12" w:space="0" w:color="auto"/>
            </w:tcBorders>
            <w:shd w:val="clear" w:color="auto" w:fill="B3B3B3"/>
          </w:tcPr>
          <w:p w:rsidR="00B12674" w:rsidRPr="00670B8D" w:rsidRDefault="00B12674" w:rsidP="00C16EA7">
            <w:pPr>
              <w:jc w:val="center"/>
              <w:rPr>
                <w:rFonts w:ascii="Arial" w:hAnsi="Arial" w:cs="Arial"/>
                <w:b/>
                <w:spacing w:val="-5"/>
              </w:rPr>
            </w:pPr>
          </w:p>
        </w:tc>
        <w:tc>
          <w:tcPr>
            <w:tcW w:w="1134" w:type="dxa"/>
            <w:tcBorders>
              <w:top w:val="single" w:sz="12" w:space="0" w:color="auto"/>
            </w:tcBorders>
            <w:shd w:val="clear" w:color="auto" w:fill="B3B3B3"/>
            <w:vAlign w:val="center"/>
          </w:tcPr>
          <w:p w:rsidR="00B12674" w:rsidRPr="00670B8D" w:rsidRDefault="00B12674" w:rsidP="00C16EA7">
            <w:pPr>
              <w:jc w:val="center"/>
              <w:rPr>
                <w:rFonts w:ascii="Arial" w:hAnsi="Arial" w:cs="Arial"/>
                <w:b/>
                <w:spacing w:val="-5"/>
              </w:rPr>
            </w:pPr>
            <w:r w:rsidRPr="00670B8D">
              <w:rPr>
                <w:rFonts w:ascii="Arial" w:hAnsi="Arial" w:cs="Arial"/>
                <w:b/>
                <w:spacing w:val="-5"/>
              </w:rPr>
              <w:t>Annual Average %</w:t>
            </w:r>
          </w:p>
        </w:tc>
        <w:tc>
          <w:tcPr>
            <w:tcW w:w="1276" w:type="dxa"/>
            <w:tcBorders>
              <w:top w:val="single" w:sz="12" w:space="0" w:color="auto"/>
            </w:tcBorders>
            <w:shd w:val="clear" w:color="auto" w:fill="B3B3B3"/>
            <w:vAlign w:val="center"/>
          </w:tcPr>
          <w:p w:rsidR="00B12674" w:rsidRPr="00670B8D" w:rsidRDefault="00B12674" w:rsidP="00C16EA7">
            <w:pPr>
              <w:jc w:val="center"/>
              <w:rPr>
                <w:rFonts w:ascii="Arial" w:hAnsi="Arial" w:cs="Arial"/>
                <w:b/>
                <w:spacing w:val="-5"/>
              </w:rPr>
            </w:pPr>
            <w:r w:rsidRPr="00670B8D">
              <w:rPr>
                <w:rFonts w:ascii="Arial" w:hAnsi="Arial" w:cs="Arial"/>
                <w:b/>
                <w:spacing w:val="-5"/>
              </w:rPr>
              <w:t>Bank Rate</w:t>
            </w:r>
          </w:p>
          <w:p w:rsidR="00B12674" w:rsidRPr="00670B8D" w:rsidRDefault="00B12674" w:rsidP="00C16EA7">
            <w:pPr>
              <w:jc w:val="center"/>
              <w:rPr>
                <w:rFonts w:ascii="Arial" w:hAnsi="Arial" w:cs="Arial"/>
                <w:b/>
                <w:spacing w:val="-5"/>
              </w:rPr>
            </w:pPr>
            <w:r w:rsidRPr="00670B8D">
              <w:rPr>
                <w:rFonts w:ascii="Arial" w:hAnsi="Arial" w:cs="Arial"/>
                <w:b/>
                <w:spacing w:val="-5"/>
              </w:rPr>
              <w:t>%</w:t>
            </w:r>
          </w:p>
        </w:tc>
        <w:tc>
          <w:tcPr>
            <w:tcW w:w="5386" w:type="dxa"/>
            <w:gridSpan w:val="3"/>
            <w:tcBorders>
              <w:top w:val="single" w:sz="12" w:space="0" w:color="auto"/>
              <w:right w:val="single" w:sz="12" w:space="0" w:color="auto"/>
            </w:tcBorders>
            <w:shd w:val="clear" w:color="auto" w:fill="B3B3B3"/>
            <w:vAlign w:val="center"/>
          </w:tcPr>
          <w:p w:rsidR="00B12674" w:rsidRPr="00670B8D" w:rsidRDefault="00B12674" w:rsidP="00C16EA7">
            <w:pPr>
              <w:jc w:val="center"/>
              <w:rPr>
                <w:rFonts w:ascii="Arial" w:hAnsi="Arial" w:cs="Arial"/>
                <w:b/>
                <w:spacing w:val="-5"/>
              </w:rPr>
            </w:pPr>
            <w:r w:rsidRPr="00670B8D">
              <w:rPr>
                <w:rFonts w:ascii="Arial" w:hAnsi="Arial" w:cs="Arial"/>
                <w:b/>
                <w:spacing w:val="-5"/>
              </w:rPr>
              <w:t>PWLB Borrowing Rates %</w:t>
            </w:r>
          </w:p>
          <w:p w:rsidR="00B12674" w:rsidRPr="00670B8D" w:rsidRDefault="00B12674" w:rsidP="00C16EA7">
            <w:pPr>
              <w:jc w:val="center"/>
              <w:rPr>
                <w:rFonts w:ascii="Arial" w:hAnsi="Arial" w:cs="Arial"/>
                <w:b/>
                <w:spacing w:val="-5"/>
              </w:rPr>
            </w:pPr>
            <w:r w:rsidRPr="00670B8D">
              <w:rPr>
                <w:rFonts w:ascii="Arial" w:hAnsi="Arial" w:cs="Arial"/>
                <w:b/>
                <w:spacing w:val="-5"/>
              </w:rPr>
              <w:t>(including certainty rate adjustment)</w:t>
            </w:r>
          </w:p>
        </w:tc>
      </w:tr>
      <w:tr w:rsidR="00B12674" w:rsidRPr="00670B8D" w:rsidTr="00EC2A2D">
        <w:tc>
          <w:tcPr>
            <w:tcW w:w="2268" w:type="dxa"/>
            <w:tcBorders>
              <w:left w:val="single" w:sz="12" w:space="0" w:color="auto"/>
            </w:tcBorders>
            <w:shd w:val="clear" w:color="auto" w:fill="B3B3B3"/>
          </w:tcPr>
          <w:p w:rsidR="00B12674" w:rsidRPr="00670B8D" w:rsidRDefault="00B12674" w:rsidP="00C16EA7">
            <w:pPr>
              <w:rPr>
                <w:rFonts w:ascii="Arial" w:hAnsi="Arial" w:cs="Arial"/>
                <w:b/>
                <w:spacing w:val="-5"/>
              </w:rPr>
            </w:pPr>
          </w:p>
        </w:tc>
        <w:tc>
          <w:tcPr>
            <w:tcW w:w="1134" w:type="dxa"/>
            <w:shd w:val="clear" w:color="auto" w:fill="B3B3B3"/>
          </w:tcPr>
          <w:p w:rsidR="00B12674" w:rsidRPr="00670B8D" w:rsidRDefault="00B12674" w:rsidP="00C16EA7">
            <w:pPr>
              <w:rPr>
                <w:rFonts w:ascii="Arial" w:hAnsi="Arial" w:cs="Arial"/>
                <w:b/>
                <w:spacing w:val="-5"/>
              </w:rPr>
            </w:pPr>
          </w:p>
        </w:tc>
        <w:tc>
          <w:tcPr>
            <w:tcW w:w="1276" w:type="dxa"/>
            <w:shd w:val="clear" w:color="auto" w:fill="B3B3B3"/>
          </w:tcPr>
          <w:p w:rsidR="00B12674" w:rsidRPr="00670B8D" w:rsidRDefault="00B12674" w:rsidP="00C16EA7">
            <w:pPr>
              <w:jc w:val="center"/>
              <w:rPr>
                <w:rFonts w:ascii="Arial" w:hAnsi="Arial" w:cs="Arial"/>
                <w:b/>
                <w:spacing w:val="-5"/>
              </w:rPr>
            </w:pPr>
          </w:p>
        </w:tc>
        <w:tc>
          <w:tcPr>
            <w:tcW w:w="1843" w:type="dxa"/>
            <w:shd w:val="clear" w:color="auto" w:fill="B3B3B3"/>
          </w:tcPr>
          <w:p w:rsidR="00B12674" w:rsidRPr="00670B8D" w:rsidRDefault="00B12674" w:rsidP="00C16EA7">
            <w:pPr>
              <w:jc w:val="center"/>
              <w:rPr>
                <w:rFonts w:ascii="Arial" w:hAnsi="Arial" w:cs="Arial"/>
                <w:b/>
                <w:spacing w:val="-5"/>
              </w:rPr>
            </w:pPr>
            <w:r w:rsidRPr="00670B8D">
              <w:rPr>
                <w:rFonts w:ascii="Arial" w:hAnsi="Arial" w:cs="Arial"/>
                <w:b/>
                <w:spacing w:val="-5"/>
              </w:rPr>
              <w:t>5 year</w:t>
            </w:r>
          </w:p>
        </w:tc>
        <w:tc>
          <w:tcPr>
            <w:tcW w:w="1701" w:type="dxa"/>
            <w:shd w:val="clear" w:color="auto" w:fill="B3B3B3"/>
          </w:tcPr>
          <w:p w:rsidR="00B12674" w:rsidRPr="00670B8D" w:rsidRDefault="00B12674" w:rsidP="00C16EA7">
            <w:pPr>
              <w:jc w:val="center"/>
              <w:rPr>
                <w:rFonts w:ascii="Arial" w:hAnsi="Arial" w:cs="Arial"/>
                <w:b/>
                <w:spacing w:val="-5"/>
              </w:rPr>
            </w:pPr>
            <w:r w:rsidRPr="00670B8D">
              <w:rPr>
                <w:rFonts w:ascii="Arial" w:hAnsi="Arial" w:cs="Arial"/>
                <w:b/>
                <w:spacing w:val="-5"/>
              </w:rPr>
              <w:t>25 year</w:t>
            </w:r>
          </w:p>
        </w:tc>
        <w:tc>
          <w:tcPr>
            <w:tcW w:w="1842" w:type="dxa"/>
            <w:tcBorders>
              <w:right w:val="single" w:sz="12" w:space="0" w:color="auto"/>
            </w:tcBorders>
            <w:shd w:val="clear" w:color="auto" w:fill="B3B3B3"/>
          </w:tcPr>
          <w:p w:rsidR="00B12674" w:rsidRPr="00670B8D" w:rsidRDefault="00B12674" w:rsidP="00C16EA7">
            <w:pPr>
              <w:jc w:val="center"/>
              <w:rPr>
                <w:rFonts w:ascii="Arial" w:hAnsi="Arial" w:cs="Arial"/>
                <w:b/>
                <w:spacing w:val="-5"/>
              </w:rPr>
            </w:pPr>
            <w:r w:rsidRPr="00670B8D">
              <w:rPr>
                <w:rFonts w:ascii="Arial" w:hAnsi="Arial" w:cs="Arial"/>
                <w:b/>
                <w:spacing w:val="-5"/>
              </w:rPr>
              <w:t>50 year</w:t>
            </w:r>
          </w:p>
        </w:tc>
      </w:tr>
      <w:tr w:rsidR="00B12674" w:rsidRPr="00670B8D" w:rsidTr="00EC2A2D">
        <w:tc>
          <w:tcPr>
            <w:tcW w:w="2268" w:type="dxa"/>
            <w:tcBorders>
              <w:top w:val="single" w:sz="12" w:space="0" w:color="auto"/>
              <w:left w:val="single" w:sz="12" w:space="0" w:color="auto"/>
              <w:bottom w:val="single" w:sz="4" w:space="0" w:color="auto"/>
            </w:tcBorders>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tcPr>
          <w:p w:rsidR="00B12674" w:rsidRPr="00670B8D" w:rsidRDefault="00B12674" w:rsidP="00C16EA7">
            <w:pPr>
              <w:rPr>
                <w:rFonts w:ascii="Arial" w:hAnsi="Arial" w:cs="Arial"/>
                <w:color w:val="0D0D0D"/>
              </w:rPr>
            </w:pPr>
            <w:r>
              <w:rPr>
                <w:rFonts w:ascii="Arial" w:hAnsi="Arial" w:cs="Arial"/>
                <w:color w:val="0D0D0D"/>
              </w:rPr>
              <w:t>Mar 16</w:t>
            </w:r>
          </w:p>
        </w:tc>
        <w:tc>
          <w:tcPr>
            <w:tcW w:w="1276" w:type="dxa"/>
            <w:tcBorders>
              <w:top w:val="single" w:sz="12" w:space="0" w:color="auto"/>
              <w:bottom w:val="single" w:sz="4" w:space="0" w:color="auto"/>
            </w:tcBorders>
          </w:tcPr>
          <w:p w:rsidR="00B12674" w:rsidRDefault="00B12674" w:rsidP="00C16EA7">
            <w:pPr>
              <w:jc w:val="center"/>
            </w:pPr>
            <w:r w:rsidRPr="00322DE8">
              <w:rPr>
                <w:rFonts w:ascii="Arial" w:hAnsi="Arial" w:cs="Arial"/>
                <w:color w:val="0D0D0D"/>
              </w:rPr>
              <w:t>0.50%</w:t>
            </w:r>
          </w:p>
        </w:tc>
        <w:tc>
          <w:tcPr>
            <w:tcW w:w="1843"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2.00%</w:t>
            </w:r>
          </w:p>
        </w:tc>
        <w:tc>
          <w:tcPr>
            <w:tcW w:w="1701"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3.40%</w:t>
            </w:r>
          </w:p>
        </w:tc>
        <w:tc>
          <w:tcPr>
            <w:tcW w:w="1842" w:type="dxa"/>
            <w:tcBorders>
              <w:top w:val="single" w:sz="12" w:space="0" w:color="auto"/>
              <w:bottom w:val="single" w:sz="4" w:space="0" w:color="auto"/>
              <w:right w:val="single" w:sz="12" w:space="0" w:color="auto"/>
            </w:tcBorders>
          </w:tcPr>
          <w:p w:rsidR="00B12674" w:rsidRPr="00670B8D" w:rsidRDefault="00B12674" w:rsidP="00C16EA7">
            <w:pPr>
              <w:jc w:val="center"/>
              <w:rPr>
                <w:rFonts w:ascii="Arial" w:hAnsi="Arial" w:cs="Arial"/>
                <w:color w:val="0D0D0D"/>
              </w:rPr>
            </w:pPr>
            <w:r>
              <w:rPr>
                <w:rFonts w:ascii="Arial" w:hAnsi="Arial" w:cs="Arial"/>
                <w:color w:val="0D0D0D"/>
              </w:rPr>
              <w:t>3.20%</w:t>
            </w:r>
          </w:p>
        </w:tc>
      </w:tr>
      <w:tr w:rsidR="00B12674" w:rsidRPr="00670B8D" w:rsidTr="00EC2A2D">
        <w:tc>
          <w:tcPr>
            <w:tcW w:w="2268" w:type="dxa"/>
            <w:tcBorders>
              <w:left w:val="single" w:sz="12" w:space="0" w:color="auto"/>
              <w:bottom w:val="single" w:sz="12" w:space="0" w:color="auto"/>
            </w:tcBorders>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tcPr>
          <w:p w:rsidR="00B12674" w:rsidRDefault="00B12674" w:rsidP="00C16EA7">
            <w:pPr>
              <w:rPr>
                <w:rFonts w:ascii="Arial" w:hAnsi="Arial" w:cs="Arial"/>
                <w:color w:val="0D0D0D"/>
              </w:rPr>
            </w:pPr>
          </w:p>
        </w:tc>
        <w:tc>
          <w:tcPr>
            <w:tcW w:w="1276" w:type="dxa"/>
            <w:tcBorders>
              <w:bottom w:val="single" w:sz="12" w:space="0" w:color="auto"/>
            </w:tcBorders>
          </w:tcPr>
          <w:p w:rsidR="00B12674" w:rsidRPr="00322DE8" w:rsidRDefault="00B12674" w:rsidP="00C16EA7">
            <w:pPr>
              <w:jc w:val="center"/>
              <w:rPr>
                <w:rFonts w:ascii="Arial" w:hAnsi="Arial" w:cs="Arial"/>
                <w:color w:val="0D0D0D"/>
              </w:rPr>
            </w:pPr>
            <w:r w:rsidRPr="00322DE8">
              <w:rPr>
                <w:rFonts w:ascii="Arial" w:hAnsi="Arial" w:cs="Arial"/>
                <w:color w:val="0D0D0D"/>
              </w:rPr>
              <w:t>0.50%</w:t>
            </w:r>
          </w:p>
        </w:tc>
        <w:tc>
          <w:tcPr>
            <w:tcW w:w="1843" w:type="dxa"/>
            <w:tcBorders>
              <w:bottom w:val="single" w:sz="12" w:space="0" w:color="auto"/>
            </w:tcBorders>
          </w:tcPr>
          <w:p w:rsidR="00B12674" w:rsidRDefault="00B12674" w:rsidP="00C16EA7">
            <w:pPr>
              <w:jc w:val="center"/>
              <w:rPr>
                <w:rFonts w:ascii="Arial" w:hAnsi="Arial" w:cs="Arial"/>
                <w:color w:val="0D0D0D"/>
              </w:rPr>
            </w:pPr>
            <w:r>
              <w:rPr>
                <w:rFonts w:ascii="Arial" w:hAnsi="Arial" w:cs="Arial"/>
                <w:color w:val="0D0D0D"/>
              </w:rPr>
              <w:t>2.60</w:t>
            </w:r>
            <w:r w:rsidR="00EC2A2D">
              <w:rPr>
                <w:rFonts w:ascii="Arial" w:hAnsi="Arial" w:cs="Arial"/>
                <w:color w:val="0D0D0D"/>
              </w:rPr>
              <w:t>%</w:t>
            </w:r>
          </w:p>
        </w:tc>
        <w:tc>
          <w:tcPr>
            <w:tcW w:w="1701"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3.35%</w:t>
            </w:r>
          </w:p>
        </w:tc>
        <w:tc>
          <w:tcPr>
            <w:tcW w:w="1842" w:type="dxa"/>
            <w:tcBorders>
              <w:bottom w:val="single" w:sz="12" w:space="0" w:color="auto"/>
              <w:right w:val="single" w:sz="12" w:space="0" w:color="auto"/>
            </w:tcBorders>
          </w:tcPr>
          <w:p w:rsidR="00B12674" w:rsidRDefault="00EC2A2D" w:rsidP="00C16EA7">
            <w:pPr>
              <w:jc w:val="center"/>
              <w:rPr>
                <w:rFonts w:ascii="Arial" w:hAnsi="Arial" w:cs="Arial"/>
                <w:color w:val="0D0D0D"/>
              </w:rPr>
            </w:pPr>
            <w:r>
              <w:rPr>
                <w:rFonts w:ascii="Arial" w:hAnsi="Arial" w:cs="Arial"/>
                <w:color w:val="0D0D0D"/>
              </w:rPr>
              <w:t>3.40%</w:t>
            </w:r>
          </w:p>
        </w:tc>
      </w:tr>
      <w:tr w:rsidR="00B12674" w:rsidRPr="00670B8D" w:rsidTr="00EC2A2D">
        <w:tc>
          <w:tcPr>
            <w:tcW w:w="2268" w:type="dxa"/>
            <w:tcBorders>
              <w:top w:val="single" w:sz="12" w:space="0" w:color="auto"/>
              <w:left w:val="single" w:sz="12" w:space="0" w:color="auto"/>
              <w:bottom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shd w:val="clear" w:color="auto" w:fill="C6D9F1" w:themeFill="text2" w:themeFillTint="33"/>
          </w:tcPr>
          <w:p w:rsidR="00B12674" w:rsidRPr="00670B8D" w:rsidRDefault="00B12674" w:rsidP="00C16EA7">
            <w:pPr>
              <w:rPr>
                <w:rFonts w:ascii="Arial" w:hAnsi="Arial" w:cs="Arial"/>
                <w:color w:val="0D0D0D"/>
              </w:rPr>
            </w:pPr>
            <w:r>
              <w:rPr>
                <w:rFonts w:ascii="Arial" w:hAnsi="Arial" w:cs="Arial"/>
                <w:color w:val="0D0D0D"/>
              </w:rPr>
              <w:t>Jun 16</w:t>
            </w:r>
          </w:p>
        </w:tc>
        <w:tc>
          <w:tcPr>
            <w:tcW w:w="1276" w:type="dxa"/>
            <w:tcBorders>
              <w:top w:val="single" w:sz="12" w:space="0" w:color="auto"/>
              <w:bottom w:val="single" w:sz="4" w:space="0" w:color="auto"/>
            </w:tcBorders>
            <w:shd w:val="clear" w:color="auto" w:fill="C6D9F1" w:themeFill="text2" w:themeFillTint="33"/>
          </w:tcPr>
          <w:p w:rsidR="00B12674" w:rsidRDefault="00B12674" w:rsidP="00C16EA7">
            <w:pPr>
              <w:jc w:val="center"/>
            </w:pPr>
            <w:r w:rsidRPr="00322DE8">
              <w:rPr>
                <w:rFonts w:ascii="Arial" w:hAnsi="Arial" w:cs="Arial"/>
                <w:color w:val="0D0D0D"/>
              </w:rPr>
              <w:t>0.50%</w:t>
            </w:r>
          </w:p>
        </w:tc>
        <w:tc>
          <w:tcPr>
            <w:tcW w:w="1843"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2.10%</w:t>
            </w:r>
          </w:p>
        </w:tc>
        <w:tc>
          <w:tcPr>
            <w:tcW w:w="1701"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3.40%</w:t>
            </w:r>
          </w:p>
        </w:tc>
        <w:tc>
          <w:tcPr>
            <w:tcW w:w="1842" w:type="dxa"/>
            <w:tcBorders>
              <w:top w:val="single" w:sz="12" w:space="0" w:color="auto"/>
              <w:bottom w:val="single" w:sz="4" w:space="0" w:color="auto"/>
              <w:right w:val="single" w:sz="12"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3.20%</w:t>
            </w:r>
          </w:p>
        </w:tc>
      </w:tr>
      <w:tr w:rsidR="00B12674" w:rsidRPr="00670B8D" w:rsidTr="00EC2A2D">
        <w:tc>
          <w:tcPr>
            <w:tcW w:w="2268" w:type="dxa"/>
            <w:tcBorders>
              <w:left w:val="single" w:sz="12" w:space="0" w:color="auto"/>
              <w:bottom w:val="single" w:sz="12"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shd w:val="clear" w:color="auto" w:fill="C6D9F1" w:themeFill="text2" w:themeFillTint="33"/>
          </w:tcPr>
          <w:p w:rsidR="00B12674" w:rsidRDefault="00B12674" w:rsidP="00C16EA7">
            <w:pPr>
              <w:rPr>
                <w:rFonts w:ascii="Arial" w:hAnsi="Arial" w:cs="Arial"/>
                <w:color w:val="0D0D0D"/>
              </w:rPr>
            </w:pPr>
          </w:p>
        </w:tc>
        <w:tc>
          <w:tcPr>
            <w:tcW w:w="1276" w:type="dxa"/>
            <w:tcBorders>
              <w:bottom w:val="single" w:sz="12" w:space="0" w:color="auto"/>
            </w:tcBorders>
            <w:shd w:val="clear" w:color="auto" w:fill="C6D9F1" w:themeFill="text2" w:themeFillTint="33"/>
          </w:tcPr>
          <w:p w:rsidR="00B12674" w:rsidRPr="00322DE8" w:rsidRDefault="00B12674" w:rsidP="00C16EA7">
            <w:pPr>
              <w:jc w:val="center"/>
              <w:rPr>
                <w:rFonts w:ascii="Arial" w:hAnsi="Arial" w:cs="Arial"/>
                <w:color w:val="0D0D0D"/>
              </w:rPr>
            </w:pPr>
            <w:r>
              <w:rPr>
                <w:rFonts w:ascii="Arial" w:hAnsi="Arial" w:cs="Arial"/>
                <w:color w:val="0D0D0D"/>
              </w:rPr>
              <w:t>0.75</w:t>
            </w:r>
            <w:r w:rsidR="00EC2A2D">
              <w:rPr>
                <w:rFonts w:ascii="Arial" w:hAnsi="Arial" w:cs="Arial"/>
                <w:color w:val="0D0D0D"/>
              </w:rPr>
              <w:t>%</w:t>
            </w:r>
          </w:p>
        </w:tc>
        <w:tc>
          <w:tcPr>
            <w:tcW w:w="1843" w:type="dxa"/>
            <w:tcBorders>
              <w:bottom w:val="single" w:sz="12" w:space="0" w:color="auto"/>
            </w:tcBorders>
            <w:shd w:val="clear" w:color="auto" w:fill="C6D9F1" w:themeFill="text2" w:themeFillTint="33"/>
          </w:tcPr>
          <w:p w:rsidR="00B12674" w:rsidRDefault="00B12674" w:rsidP="00C16EA7">
            <w:pPr>
              <w:jc w:val="center"/>
              <w:rPr>
                <w:rFonts w:ascii="Arial" w:hAnsi="Arial" w:cs="Arial"/>
                <w:color w:val="0D0D0D"/>
              </w:rPr>
            </w:pPr>
            <w:r>
              <w:rPr>
                <w:rFonts w:ascii="Arial" w:hAnsi="Arial" w:cs="Arial"/>
                <w:color w:val="0D0D0D"/>
              </w:rPr>
              <w:t>2.70</w:t>
            </w:r>
            <w:r w:rsidR="00EC2A2D">
              <w:rPr>
                <w:rFonts w:ascii="Arial" w:hAnsi="Arial" w:cs="Arial"/>
                <w:color w:val="0D0D0D"/>
              </w:rPr>
              <w:t>%</w:t>
            </w:r>
          </w:p>
        </w:tc>
        <w:tc>
          <w:tcPr>
            <w:tcW w:w="1701" w:type="dxa"/>
            <w:tcBorders>
              <w:bottom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3.45%</w:t>
            </w:r>
          </w:p>
        </w:tc>
        <w:tc>
          <w:tcPr>
            <w:tcW w:w="1842" w:type="dxa"/>
            <w:tcBorders>
              <w:bottom w:val="single" w:sz="12" w:space="0" w:color="auto"/>
              <w:right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3.50%</w:t>
            </w:r>
          </w:p>
        </w:tc>
      </w:tr>
      <w:tr w:rsidR="00B12674" w:rsidRPr="00670B8D" w:rsidTr="00EC2A2D">
        <w:tc>
          <w:tcPr>
            <w:tcW w:w="2268" w:type="dxa"/>
            <w:tcBorders>
              <w:top w:val="single" w:sz="12" w:space="0" w:color="auto"/>
              <w:left w:val="single" w:sz="12" w:space="0" w:color="auto"/>
              <w:bottom w:val="single" w:sz="4" w:space="0" w:color="auto"/>
            </w:tcBorders>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tcPr>
          <w:p w:rsidR="00B12674" w:rsidRPr="00670B8D" w:rsidRDefault="00B12674" w:rsidP="00C16EA7">
            <w:pPr>
              <w:rPr>
                <w:rFonts w:ascii="Arial" w:hAnsi="Arial" w:cs="Arial"/>
                <w:color w:val="0D0D0D"/>
              </w:rPr>
            </w:pPr>
            <w:r>
              <w:rPr>
                <w:rFonts w:ascii="Arial" w:hAnsi="Arial" w:cs="Arial"/>
                <w:color w:val="0D0D0D"/>
              </w:rPr>
              <w:t>Sept 16</w:t>
            </w:r>
          </w:p>
        </w:tc>
        <w:tc>
          <w:tcPr>
            <w:tcW w:w="1276" w:type="dxa"/>
            <w:tcBorders>
              <w:top w:val="single" w:sz="12" w:space="0" w:color="auto"/>
              <w:bottom w:val="single" w:sz="4" w:space="0" w:color="auto"/>
            </w:tcBorders>
          </w:tcPr>
          <w:p w:rsidR="00B12674" w:rsidRDefault="00B12674" w:rsidP="00C16EA7">
            <w:pPr>
              <w:jc w:val="center"/>
            </w:pPr>
            <w:r w:rsidRPr="00322DE8">
              <w:rPr>
                <w:rFonts w:ascii="Arial" w:hAnsi="Arial" w:cs="Arial"/>
                <w:color w:val="0D0D0D"/>
              </w:rPr>
              <w:t>0.50%</w:t>
            </w:r>
          </w:p>
        </w:tc>
        <w:tc>
          <w:tcPr>
            <w:tcW w:w="1843"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2.20%</w:t>
            </w:r>
          </w:p>
        </w:tc>
        <w:tc>
          <w:tcPr>
            <w:tcW w:w="1701"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3.50%</w:t>
            </w:r>
          </w:p>
        </w:tc>
        <w:tc>
          <w:tcPr>
            <w:tcW w:w="1842" w:type="dxa"/>
            <w:tcBorders>
              <w:top w:val="single" w:sz="12" w:space="0" w:color="auto"/>
              <w:bottom w:val="single" w:sz="4" w:space="0" w:color="auto"/>
              <w:right w:val="single" w:sz="12" w:space="0" w:color="auto"/>
            </w:tcBorders>
          </w:tcPr>
          <w:p w:rsidR="00B12674" w:rsidRPr="00670B8D" w:rsidRDefault="00B12674" w:rsidP="00C16EA7">
            <w:pPr>
              <w:jc w:val="center"/>
              <w:rPr>
                <w:rFonts w:ascii="Arial" w:hAnsi="Arial" w:cs="Arial"/>
                <w:color w:val="0D0D0D"/>
              </w:rPr>
            </w:pPr>
            <w:r>
              <w:rPr>
                <w:rFonts w:ascii="Arial" w:hAnsi="Arial" w:cs="Arial"/>
                <w:color w:val="0D0D0D"/>
              </w:rPr>
              <w:t>3.30%</w:t>
            </w:r>
          </w:p>
        </w:tc>
      </w:tr>
      <w:tr w:rsidR="00B12674" w:rsidRPr="00670B8D" w:rsidTr="00EC2A2D">
        <w:tc>
          <w:tcPr>
            <w:tcW w:w="2268" w:type="dxa"/>
            <w:tcBorders>
              <w:left w:val="single" w:sz="12" w:space="0" w:color="auto"/>
              <w:bottom w:val="single" w:sz="12" w:space="0" w:color="auto"/>
            </w:tcBorders>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tcPr>
          <w:p w:rsidR="00B12674" w:rsidRDefault="00B12674" w:rsidP="00C16EA7">
            <w:pPr>
              <w:rPr>
                <w:rFonts w:ascii="Arial" w:hAnsi="Arial" w:cs="Arial"/>
                <w:color w:val="0D0D0D"/>
              </w:rPr>
            </w:pPr>
          </w:p>
        </w:tc>
        <w:tc>
          <w:tcPr>
            <w:tcW w:w="1276" w:type="dxa"/>
            <w:tcBorders>
              <w:bottom w:val="single" w:sz="12" w:space="0" w:color="auto"/>
            </w:tcBorders>
          </w:tcPr>
          <w:p w:rsidR="00B12674" w:rsidRDefault="00B12674" w:rsidP="00B12674">
            <w:pPr>
              <w:rPr>
                <w:rFonts w:ascii="Arial" w:hAnsi="Arial" w:cs="Arial"/>
                <w:color w:val="0D0D0D"/>
              </w:rPr>
            </w:pPr>
            <w:r>
              <w:rPr>
                <w:rFonts w:ascii="Arial" w:hAnsi="Arial" w:cs="Arial"/>
                <w:color w:val="0D0D0D"/>
              </w:rPr>
              <w:t>0.75</w:t>
            </w:r>
            <w:r w:rsidR="00EC2A2D">
              <w:rPr>
                <w:rFonts w:ascii="Arial" w:hAnsi="Arial" w:cs="Arial"/>
                <w:color w:val="0D0D0D"/>
              </w:rPr>
              <w:t>%</w:t>
            </w:r>
          </w:p>
        </w:tc>
        <w:tc>
          <w:tcPr>
            <w:tcW w:w="1843"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2.80%</w:t>
            </w:r>
          </w:p>
        </w:tc>
        <w:tc>
          <w:tcPr>
            <w:tcW w:w="1701"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3.45%</w:t>
            </w:r>
          </w:p>
        </w:tc>
        <w:tc>
          <w:tcPr>
            <w:tcW w:w="1842" w:type="dxa"/>
            <w:tcBorders>
              <w:bottom w:val="single" w:sz="12" w:space="0" w:color="auto"/>
              <w:right w:val="single" w:sz="12" w:space="0" w:color="auto"/>
            </w:tcBorders>
          </w:tcPr>
          <w:p w:rsidR="00B12674" w:rsidRDefault="00EC2A2D" w:rsidP="00C16EA7">
            <w:pPr>
              <w:jc w:val="center"/>
              <w:rPr>
                <w:rFonts w:ascii="Arial" w:hAnsi="Arial" w:cs="Arial"/>
                <w:color w:val="0D0D0D"/>
              </w:rPr>
            </w:pPr>
            <w:r>
              <w:rPr>
                <w:rFonts w:ascii="Arial" w:hAnsi="Arial" w:cs="Arial"/>
                <w:color w:val="0D0D0D"/>
              </w:rPr>
              <w:t>3.50%</w:t>
            </w:r>
          </w:p>
        </w:tc>
      </w:tr>
      <w:tr w:rsidR="00B12674" w:rsidRPr="00670B8D" w:rsidTr="00EC2A2D">
        <w:tc>
          <w:tcPr>
            <w:tcW w:w="2268" w:type="dxa"/>
            <w:tcBorders>
              <w:top w:val="single" w:sz="12" w:space="0" w:color="auto"/>
              <w:left w:val="single" w:sz="12" w:space="0" w:color="auto"/>
              <w:bottom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shd w:val="clear" w:color="auto" w:fill="C6D9F1" w:themeFill="text2" w:themeFillTint="33"/>
          </w:tcPr>
          <w:p w:rsidR="00B12674" w:rsidRPr="00670B8D" w:rsidRDefault="00B12674" w:rsidP="00C16EA7">
            <w:pPr>
              <w:rPr>
                <w:rFonts w:ascii="Arial" w:hAnsi="Arial" w:cs="Arial"/>
                <w:color w:val="0D0D0D"/>
              </w:rPr>
            </w:pPr>
            <w:r>
              <w:rPr>
                <w:rFonts w:ascii="Arial" w:hAnsi="Arial" w:cs="Arial"/>
                <w:color w:val="0D0D0D"/>
              </w:rPr>
              <w:t>Dec 16</w:t>
            </w:r>
          </w:p>
        </w:tc>
        <w:tc>
          <w:tcPr>
            <w:tcW w:w="1276"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0.75%</w:t>
            </w:r>
          </w:p>
        </w:tc>
        <w:tc>
          <w:tcPr>
            <w:tcW w:w="1843"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2.30%</w:t>
            </w:r>
          </w:p>
        </w:tc>
        <w:tc>
          <w:tcPr>
            <w:tcW w:w="1701"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3.60%</w:t>
            </w:r>
          </w:p>
        </w:tc>
        <w:tc>
          <w:tcPr>
            <w:tcW w:w="1842" w:type="dxa"/>
            <w:tcBorders>
              <w:top w:val="single" w:sz="12" w:space="0" w:color="auto"/>
              <w:bottom w:val="single" w:sz="4" w:space="0" w:color="auto"/>
              <w:right w:val="single" w:sz="12"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3.40%</w:t>
            </w:r>
          </w:p>
        </w:tc>
      </w:tr>
      <w:tr w:rsidR="00B12674" w:rsidRPr="00670B8D" w:rsidTr="00EC2A2D">
        <w:tc>
          <w:tcPr>
            <w:tcW w:w="2268" w:type="dxa"/>
            <w:tcBorders>
              <w:left w:val="single" w:sz="12" w:space="0" w:color="auto"/>
              <w:bottom w:val="single" w:sz="12"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shd w:val="clear" w:color="auto" w:fill="C6D9F1" w:themeFill="text2" w:themeFillTint="33"/>
          </w:tcPr>
          <w:p w:rsidR="00B12674" w:rsidRDefault="00B12674" w:rsidP="00C16EA7">
            <w:pPr>
              <w:rPr>
                <w:rFonts w:ascii="Arial" w:hAnsi="Arial" w:cs="Arial"/>
                <w:color w:val="0D0D0D"/>
              </w:rPr>
            </w:pPr>
          </w:p>
        </w:tc>
        <w:tc>
          <w:tcPr>
            <w:tcW w:w="1276" w:type="dxa"/>
            <w:tcBorders>
              <w:bottom w:val="single" w:sz="12" w:space="0" w:color="auto"/>
            </w:tcBorders>
            <w:shd w:val="clear" w:color="auto" w:fill="C6D9F1" w:themeFill="text2" w:themeFillTint="33"/>
          </w:tcPr>
          <w:p w:rsidR="00B12674" w:rsidRDefault="00B12674" w:rsidP="00C16EA7">
            <w:pPr>
              <w:jc w:val="center"/>
              <w:rPr>
                <w:rFonts w:ascii="Arial" w:hAnsi="Arial" w:cs="Arial"/>
                <w:color w:val="0D0D0D"/>
              </w:rPr>
            </w:pPr>
            <w:r>
              <w:rPr>
                <w:rFonts w:ascii="Arial" w:hAnsi="Arial" w:cs="Arial"/>
                <w:color w:val="0D0D0D"/>
              </w:rPr>
              <w:t>0.75</w:t>
            </w:r>
            <w:r w:rsidR="00EC2A2D">
              <w:rPr>
                <w:rFonts w:ascii="Arial" w:hAnsi="Arial" w:cs="Arial"/>
                <w:color w:val="0D0D0D"/>
              </w:rPr>
              <w:t>%</w:t>
            </w:r>
          </w:p>
        </w:tc>
        <w:tc>
          <w:tcPr>
            <w:tcW w:w="1843" w:type="dxa"/>
            <w:tcBorders>
              <w:bottom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3.00%</w:t>
            </w:r>
          </w:p>
        </w:tc>
        <w:tc>
          <w:tcPr>
            <w:tcW w:w="1701" w:type="dxa"/>
            <w:tcBorders>
              <w:bottom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3.55%</w:t>
            </w:r>
          </w:p>
        </w:tc>
        <w:tc>
          <w:tcPr>
            <w:tcW w:w="1842" w:type="dxa"/>
            <w:tcBorders>
              <w:bottom w:val="single" w:sz="12" w:space="0" w:color="auto"/>
              <w:right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3.60%</w:t>
            </w:r>
          </w:p>
        </w:tc>
      </w:tr>
      <w:tr w:rsidR="00B12674" w:rsidRPr="00670B8D" w:rsidTr="00EC2A2D">
        <w:tc>
          <w:tcPr>
            <w:tcW w:w="2268" w:type="dxa"/>
            <w:tcBorders>
              <w:top w:val="single" w:sz="12" w:space="0" w:color="auto"/>
              <w:left w:val="single" w:sz="12" w:space="0" w:color="auto"/>
              <w:bottom w:val="single" w:sz="4" w:space="0" w:color="auto"/>
            </w:tcBorders>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tcPr>
          <w:p w:rsidR="00B12674" w:rsidRPr="00670B8D" w:rsidRDefault="00B12674" w:rsidP="00C16EA7">
            <w:pPr>
              <w:rPr>
                <w:rFonts w:ascii="Arial" w:hAnsi="Arial" w:cs="Arial"/>
                <w:color w:val="0D0D0D"/>
              </w:rPr>
            </w:pPr>
            <w:r>
              <w:rPr>
                <w:rFonts w:ascii="Arial" w:hAnsi="Arial" w:cs="Arial"/>
                <w:color w:val="0D0D0D"/>
              </w:rPr>
              <w:t>Mar 17</w:t>
            </w:r>
          </w:p>
        </w:tc>
        <w:tc>
          <w:tcPr>
            <w:tcW w:w="1276"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0.75%</w:t>
            </w:r>
          </w:p>
        </w:tc>
        <w:tc>
          <w:tcPr>
            <w:tcW w:w="1843"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2.40%</w:t>
            </w:r>
          </w:p>
        </w:tc>
        <w:tc>
          <w:tcPr>
            <w:tcW w:w="1701"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3.70%</w:t>
            </w:r>
          </w:p>
        </w:tc>
        <w:tc>
          <w:tcPr>
            <w:tcW w:w="1842" w:type="dxa"/>
            <w:tcBorders>
              <w:top w:val="single" w:sz="12" w:space="0" w:color="auto"/>
              <w:bottom w:val="single" w:sz="4" w:space="0" w:color="auto"/>
              <w:right w:val="single" w:sz="12" w:space="0" w:color="auto"/>
            </w:tcBorders>
          </w:tcPr>
          <w:p w:rsidR="00B12674" w:rsidRPr="00670B8D" w:rsidRDefault="00B12674" w:rsidP="00C16EA7">
            <w:pPr>
              <w:jc w:val="center"/>
              <w:rPr>
                <w:rFonts w:ascii="Arial" w:hAnsi="Arial" w:cs="Arial"/>
                <w:color w:val="0D0D0D"/>
              </w:rPr>
            </w:pPr>
            <w:r>
              <w:rPr>
                <w:rFonts w:ascii="Arial" w:hAnsi="Arial" w:cs="Arial"/>
                <w:color w:val="0D0D0D"/>
              </w:rPr>
              <w:t>3.50%</w:t>
            </w:r>
          </w:p>
        </w:tc>
      </w:tr>
      <w:tr w:rsidR="00B12674" w:rsidRPr="00670B8D" w:rsidTr="00EC2A2D">
        <w:tc>
          <w:tcPr>
            <w:tcW w:w="2268" w:type="dxa"/>
            <w:tcBorders>
              <w:left w:val="single" w:sz="12" w:space="0" w:color="auto"/>
              <w:bottom w:val="single" w:sz="12" w:space="0" w:color="auto"/>
            </w:tcBorders>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tcPr>
          <w:p w:rsidR="00B12674" w:rsidRDefault="00B12674" w:rsidP="00C16EA7">
            <w:pPr>
              <w:rPr>
                <w:rFonts w:ascii="Arial" w:hAnsi="Arial" w:cs="Arial"/>
                <w:color w:val="0D0D0D"/>
              </w:rPr>
            </w:pPr>
          </w:p>
        </w:tc>
        <w:tc>
          <w:tcPr>
            <w:tcW w:w="1276" w:type="dxa"/>
            <w:tcBorders>
              <w:bottom w:val="single" w:sz="12" w:space="0" w:color="auto"/>
            </w:tcBorders>
          </w:tcPr>
          <w:p w:rsidR="00B12674" w:rsidRDefault="00B12674" w:rsidP="00C16EA7">
            <w:pPr>
              <w:jc w:val="center"/>
              <w:rPr>
                <w:rFonts w:ascii="Arial" w:hAnsi="Arial" w:cs="Arial"/>
                <w:color w:val="0D0D0D"/>
              </w:rPr>
            </w:pPr>
            <w:r>
              <w:rPr>
                <w:rFonts w:ascii="Arial" w:hAnsi="Arial" w:cs="Arial"/>
                <w:color w:val="0D0D0D"/>
              </w:rPr>
              <w:t>1.00</w:t>
            </w:r>
            <w:r w:rsidR="00EC2A2D">
              <w:rPr>
                <w:rFonts w:ascii="Arial" w:hAnsi="Arial" w:cs="Arial"/>
                <w:color w:val="0D0D0D"/>
              </w:rPr>
              <w:t>%</w:t>
            </w:r>
          </w:p>
        </w:tc>
        <w:tc>
          <w:tcPr>
            <w:tcW w:w="1843"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3.10%</w:t>
            </w:r>
          </w:p>
        </w:tc>
        <w:tc>
          <w:tcPr>
            <w:tcW w:w="1701"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3.65%</w:t>
            </w:r>
          </w:p>
        </w:tc>
        <w:tc>
          <w:tcPr>
            <w:tcW w:w="1842" w:type="dxa"/>
            <w:tcBorders>
              <w:bottom w:val="single" w:sz="12" w:space="0" w:color="auto"/>
              <w:right w:val="single" w:sz="12" w:space="0" w:color="auto"/>
            </w:tcBorders>
          </w:tcPr>
          <w:p w:rsidR="00B12674" w:rsidRDefault="00EC2A2D" w:rsidP="00C16EA7">
            <w:pPr>
              <w:jc w:val="center"/>
              <w:rPr>
                <w:rFonts w:ascii="Arial" w:hAnsi="Arial" w:cs="Arial"/>
                <w:color w:val="0D0D0D"/>
              </w:rPr>
            </w:pPr>
            <w:r>
              <w:rPr>
                <w:rFonts w:ascii="Arial" w:hAnsi="Arial" w:cs="Arial"/>
                <w:color w:val="0D0D0D"/>
              </w:rPr>
              <w:t>3.70%</w:t>
            </w:r>
          </w:p>
        </w:tc>
      </w:tr>
      <w:tr w:rsidR="00B12674" w:rsidRPr="00670B8D" w:rsidTr="00EC2A2D">
        <w:tc>
          <w:tcPr>
            <w:tcW w:w="2268" w:type="dxa"/>
            <w:tcBorders>
              <w:top w:val="single" w:sz="12" w:space="0" w:color="auto"/>
              <w:left w:val="single" w:sz="12" w:space="0" w:color="auto"/>
              <w:bottom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shd w:val="clear" w:color="auto" w:fill="C6D9F1" w:themeFill="text2" w:themeFillTint="33"/>
          </w:tcPr>
          <w:p w:rsidR="00B12674" w:rsidRPr="00670B8D" w:rsidRDefault="00B12674" w:rsidP="00C16EA7">
            <w:pPr>
              <w:rPr>
                <w:rFonts w:ascii="Arial" w:hAnsi="Arial" w:cs="Arial"/>
                <w:color w:val="0D0D0D"/>
              </w:rPr>
            </w:pPr>
            <w:r>
              <w:rPr>
                <w:rFonts w:ascii="Arial" w:hAnsi="Arial" w:cs="Arial"/>
                <w:color w:val="0D0D0D"/>
              </w:rPr>
              <w:t>Jun 17</w:t>
            </w:r>
          </w:p>
        </w:tc>
        <w:tc>
          <w:tcPr>
            <w:tcW w:w="1276"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1.00%</w:t>
            </w:r>
          </w:p>
        </w:tc>
        <w:tc>
          <w:tcPr>
            <w:tcW w:w="1843"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2.50%</w:t>
            </w:r>
          </w:p>
        </w:tc>
        <w:tc>
          <w:tcPr>
            <w:tcW w:w="1701"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3.70%</w:t>
            </w:r>
          </w:p>
        </w:tc>
        <w:tc>
          <w:tcPr>
            <w:tcW w:w="1842" w:type="dxa"/>
            <w:tcBorders>
              <w:top w:val="single" w:sz="12" w:space="0" w:color="auto"/>
              <w:bottom w:val="single" w:sz="4" w:space="0" w:color="auto"/>
              <w:right w:val="single" w:sz="12"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3.60%</w:t>
            </w:r>
          </w:p>
        </w:tc>
      </w:tr>
      <w:tr w:rsidR="00B12674" w:rsidRPr="00670B8D" w:rsidTr="00EC2A2D">
        <w:tc>
          <w:tcPr>
            <w:tcW w:w="2268" w:type="dxa"/>
            <w:tcBorders>
              <w:left w:val="single" w:sz="12" w:space="0" w:color="auto"/>
              <w:bottom w:val="single" w:sz="12"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shd w:val="clear" w:color="auto" w:fill="C6D9F1" w:themeFill="text2" w:themeFillTint="33"/>
          </w:tcPr>
          <w:p w:rsidR="00B12674" w:rsidRDefault="00B12674" w:rsidP="00C16EA7">
            <w:pPr>
              <w:rPr>
                <w:rFonts w:ascii="Arial" w:hAnsi="Arial" w:cs="Arial"/>
                <w:color w:val="0D0D0D"/>
              </w:rPr>
            </w:pPr>
          </w:p>
        </w:tc>
        <w:tc>
          <w:tcPr>
            <w:tcW w:w="1276" w:type="dxa"/>
            <w:tcBorders>
              <w:bottom w:val="single" w:sz="12" w:space="0" w:color="auto"/>
            </w:tcBorders>
            <w:shd w:val="clear" w:color="auto" w:fill="C6D9F1" w:themeFill="text2" w:themeFillTint="33"/>
          </w:tcPr>
          <w:p w:rsidR="00B12674" w:rsidRDefault="00B12674" w:rsidP="00C16EA7">
            <w:pPr>
              <w:jc w:val="center"/>
              <w:rPr>
                <w:rFonts w:ascii="Arial" w:hAnsi="Arial" w:cs="Arial"/>
                <w:color w:val="0D0D0D"/>
              </w:rPr>
            </w:pPr>
            <w:r>
              <w:rPr>
                <w:rFonts w:ascii="Arial" w:hAnsi="Arial" w:cs="Arial"/>
                <w:color w:val="0D0D0D"/>
              </w:rPr>
              <w:t>1.00</w:t>
            </w:r>
            <w:r w:rsidR="00EC2A2D">
              <w:rPr>
                <w:rFonts w:ascii="Arial" w:hAnsi="Arial" w:cs="Arial"/>
                <w:color w:val="0D0D0D"/>
              </w:rPr>
              <w:t>%</w:t>
            </w:r>
          </w:p>
        </w:tc>
        <w:tc>
          <w:tcPr>
            <w:tcW w:w="1843" w:type="dxa"/>
            <w:tcBorders>
              <w:bottom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3.20%</w:t>
            </w:r>
          </w:p>
        </w:tc>
        <w:tc>
          <w:tcPr>
            <w:tcW w:w="1701" w:type="dxa"/>
            <w:tcBorders>
              <w:bottom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3.75%</w:t>
            </w:r>
          </w:p>
        </w:tc>
        <w:tc>
          <w:tcPr>
            <w:tcW w:w="1842" w:type="dxa"/>
            <w:tcBorders>
              <w:bottom w:val="single" w:sz="12" w:space="0" w:color="auto"/>
              <w:right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3.80%</w:t>
            </w:r>
          </w:p>
        </w:tc>
      </w:tr>
      <w:tr w:rsidR="00B12674" w:rsidRPr="00670B8D" w:rsidTr="00EC2A2D">
        <w:tc>
          <w:tcPr>
            <w:tcW w:w="2268" w:type="dxa"/>
            <w:tcBorders>
              <w:top w:val="single" w:sz="12" w:space="0" w:color="auto"/>
              <w:left w:val="single" w:sz="12" w:space="0" w:color="auto"/>
              <w:bottom w:val="single" w:sz="4" w:space="0" w:color="auto"/>
            </w:tcBorders>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tcPr>
          <w:p w:rsidR="00B12674" w:rsidRPr="00670B8D" w:rsidRDefault="00B12674" w:rsidP="00C16EA7">
            <w:pPr>
              <w:rPr>
                <w:rFonts w:ascii="Arial" w:hAnsi="Arial" w:cs="Arial"/>
                <w:color w:val="0D0D0D"/>
              </w:rPr>
            </w:pPr>
            <w:r>
              <w:rPr>
                <w:rFonts w:ascii="Arial" w:hAnsi="Arial" w:cs="Arial"/>
                <w:color w:val="0D0D0D"/>
              </w:rPr>
              <w:t>Sept 17</w:t>
            </w:r>
          </w:p>
        </w:tc>
        <w:tc>
          <w:tcPr>
            <w:tcW w:w="1276"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1.00%</w:t>
            </w:r>
          </w:p>
        </w:tc>
        <w:tc>
          <w:tcPr>
            <w:tcW w:w="1843"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2.60%</w:t>
            </w:r>
          </w:p>
        </w:tc>
        <w:tc>
          <w:tcPr>
            <w:tcW w:w="1701" w:type="dxa"/>
            <w:tcBorders>
              <w:top w:val="single" w:sz="12" w:space="0" w:color="auto"/>
              <w:bottom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3.80%</w:t>
            </w:r>
          </w:p>
        </w:tc>
        <w:tc>
          <w:tcPr>
            <w:tcW w:w="1842" w:type="dxa"/>
            <w:tcBorders>
              <w:top w:val="single" w:sz="12" w:space="0" w:color="auto"/>
              <w:bottom w:val="single" w:sz="4" w:space="0" w:color="auto"/>
              <w:right w:val="single" w:sz="12" w:space="0" w:color="auto"/>
            </w:tcBorders>
          </w:tcPr>
          <w:p w:rsidR="00B12674" w:rsidRPr="00670B8D" w:rsidRDefault="00B12674" w:rsidP="00C16EA7">
            <w:pPr>
              <w:jc w:val="center"/>
              <w:rPr>
                <w:rFonts w:ascii="Arial" w:hAnsi="Arial" w:cs="Arial"/>
                <w:color w:val="0D0D0D"/>
              </w:rPr>
            </w:pPr>
            <w:r>
              <w:rPr>
                <w:rFonts w:ascii="Arial" w:hAnsi="Arial" w:cs="Arial"/>
                <w:color w:val="0D0D0D"/>
              </w:rPr>
              <w:t>3.70%</w:t>
            </w:r>
          </w:p>
        </w:tc>
      </w:tr>
      <w:tr w:rsidR="00B12674" w:rsidRPr="00670B8D" w:rsidTr="00EC2A2D">
        <w:tc>
          <w:tcPr>
            <w:tcW w:w="2268" w:type="dxa"/>
            <w:tcBorders>
              <w:left w:val="single" w:sz="12" w:space="0" w:color="auto"/>
              <w:bottom w:val="single" w:sz="12" w:space="0" w:color="auto"/>
            </w:tcBorders>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bottom w:val="single" w:sz="12" w:space="0" w:color="auto"/>
            </w:tcBorders>
          </w:tcPr>
          <w:p w:rsidR="00B12674" w:rsidRDefault="00B12674" w:rsidP="00C16EA7">
            <w:pPr>
              <w:rPr>
                <w:rFonts w:ascii="Arial" w:hAnsi="Arial" w:cs="Arial"/>
                <w:color w:val="0D0D0D"/>
              </w:rPr>
            </w:pPr>
          </w:p>
        </w:tc>
        <w:tc>
          <w:tcPr>
            <w:tcW w:w="1276" w:type="dxa"/>
            <w:tcBorders>
              <w:bottom w:val="single" w:sz="12" w:space="0" w:color="auto"/>
            </w:tcBorders>
          </w:tcPr>
          <w:p w:rsidR="00B12674" w:rsidRDefault="00B12674" w:rsidP="00C16EA7">
            <w:pPr>
              <w:jc w:val="center"/>
              <w:rPr>
                <w:rFonts w:ascii="Arial" w:hAnsi="Arial" w:cs="Arial"/>
                <w:color w:val="0D0D0D"/>
              </w:rPr>
            </w:pPr>
            <w:r>
              <w:rPr>
                <w:rFonts w:ascii="Arial" w:hAnsi="Arial" w:cs="Arial"/>
                <w:color w:val="0D0D0D"/>
              </w:rPr>
              <w:t>1.00</w:t>
            </w:r>
            <w:r w:rsidR="00EC2A2D">
              <w:rPr>
                <w:rFonts w:ascii="Arial" w:hAnsi="Arial" w:cs="Arial"/>
                <w:color w:val="0D0D0D"/>
              </w:rPr>
              <w:t>%</w:t>
            </w:r>
          </w:p>
        </w:tc>
        <w:tc>
          <w:tcPr>
            <w:tcW w:w="1843"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3.30%</w:t>
            </w:r>
          </w:p>
        </w:tc>
        <w:tc>
          <w:tcPr>
            <w:tcW w:w="1701" w:type="dxa"/>
            <w:tcBorders>
              <w:bottom w:val="single" w:sz="12" w:space="0" w:color="auto"/>
            </w:tcBorders>
          </w:tcPr>
          <w:p w:rsidR="00B12674" w:rsidRDefault="00EC2A2D" w:rsidP="00C16EA7">
            <w:pPr>
              <w:jc w:val="center"/>
              <w:rPr>
                <w:rFonts w:ascii="Arial" w:hAnsi="Arial" w:cs="Arial"/>
                <w:color w:val="0D0D0D"/>
              </w:rPr>
            </w:pPr>
            <w:r>
              <w:rPr>
                <w:rFonts w:ascii="Arial" w:hAnsi="Arial" w:cs="Arial"/>
                <w:color w:val="0D0D0D"/>
              </w:rPr>
              <w:t>3.85%</w:t>
            </w:r>
          </w:p>
        </w:tc>
        <w:tc>
          <w:tcPr>
            <w:tcW w:w="1842" w:type="dxa"/>
            <w:tcBorders>
              <w:bottom w:val="single" w:sz="12" w:space="0" w:color="auto"/>
              <w:right w:val="single" w:sz="12" w:space="0" w:color="auto"/>
            </w:tcBorders>
          </w:tcPr>
          <w:p w:rsidR="00B12674" w:rsidRDefault="00EC2A2D" w:rsidP="00C16EA7">
            <w:pPr>
              <w:jc w:val="center"/>
              <w:rPr>
                <w:rFonts w:ascii="Arial" w:hAnsi="Arial" w:cs="Arial"/>
                <w:color w:val="0D0D0D"/>
              </w:rPr>
            </w:pPr>
            <w:r>
              <w:rPr>
                <w:rFonts w:ascii="Arial" w:hAnsi="Arial" w:cs="Arial"/>
                <w:color w:val="0D0D0D"/>
              </w:rPr>
              <w:t>3.90%</w:t>
            </w:r>
          </w:p>
        </w:tc>
      </w:tr>
      <w:tr w:rsidR="00B12674" w:rsidRPr="00670B8D" w:rsidTr="00EC2A2D">
        <w:tc>
          <w:tcPr>
            <w:tcW w:w="2268" w:type="dxa"/>
            <w:tcBorders>
              <w:top w:val="single" w:sz="12" w:space="0" w:color="auto"/>
              <w:left w:val="single" w:sz="12" w:space="0" w:color="auto"/>
              <w:bottom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bottom w:val="single" w:sz="4" w:space="0" w:color="auto"/>
            </w:tcBorders>
            <w:shd w:val="clear" w:color="auto" w:fill="C6D9F1" w:themeFill="text2" w:themeFillTint="33"/>
          </w:tcPr>
          <w:p w:rsidR="00B12674" w:rsidRPr="00670B8D" w:rsidRDefault="00B12674" w:rsidP="00C16EA7">
            <w:pPr>
              <w:rPr>
                <w:rFonts w:ascii="Arial" w:hAnsi="Arial" w:cs="Arial"/>
                <w:color w:val="0D0D0D"/>
              </w:rPr>
            </w:pPr>
            <w:r>
              <w:rPr>
                <w:rFonts w:ascii="Arial" w:hAnsi="Arial" w:cs="Arial"/>
                <w:color w:val="0D0D0D"/>
              </w:rPr>
              <w:t>Dec 17</w:t>
            </w:r>
          </w:p>
        </w:tc>
        <w:tc>
          <w:tcPr>
            <w:tcW w:w="1276"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1.25%</w:t>
            </w:r>
          </w:p>
        </w:tc>
        <w:tc>
          <w:tcPr>
            <w:tcW w:w="1843"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2.70%</w:t>
            </w:r>
          </w:p>
        </w:tc>
        <w:tc>
          <w:tcPr>
            <w:tcW w:w="1701" w:type="dxa"/>
            <w:tcBorders>
              <w:top w:val="single" w:sz="12" w:space="0" w:color="auto"/>
              <w:bottom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3.90%</w:t>
            </w:r>
          </w:p>
        </w:tc>
        <w:tc>
          <w:tcPr>
            <w:tcW w:w="1842" w:type="dxa"/>
            <w:tcBorders>
              <w:top w:val="single" w:sz="12" w:space="0" w:color="auto"/>
              <w:bottom w:val="single" w:sz="4" w:space="0" w:color="auto"/>
              <w:right w:val="single" w:sz="12"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3.80%</w:t>
            </w:r>
          </w:p>
        </w:tc>
      </w:tr>
      <w:tr w:rsidR="00B12674" w:rsidRPr="00670B8D" w:rsidTr="00EC2A2D">
        <w:tc>
          <w:tcPr>
            <w:tcW w:w="2268" w:type="dxa"/>
            <w:tcBorders>
              <w:top w:val="single" w:sz="4" w:space="0" w:color="auto"/>
              <w:left w:val="single" w:sz="12" w:space="0" w:color="auto"/>
              <w:bottom w:val="single" w:sz="12"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p>
        </w:tc>
        <w:tc>
          <w:tcPr>
            <w:tcW w:w="1276"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B12674" w:rsidP="00C16EA7">
            <w:pPr>
              <w:jc w:val="center"/>
              <w:rPr>
                <w:rFonts w:ascii="Arial" w:hAnsi="Arial" w:cs="Arial"/>
                <w:color w:val="0D0D0D"/>
              </w:rPr>
            </w:pPr>
            <w:r>
              <w:rPr>
                <w:rFonts w:ascii="Arial" w:hAnsi="Arial" w:cs="Arial"/>
                <w:color w:val="0D0D0D"/>
              </w:rPr>
              <w:t>1.25</w:t>
            </w:r>
            <w:r w:rsidR="00EC2A2D">
              <w:rPr>
                <w:rFonts w:ascii="Arial" w:hAnsi="Arial" w:cs="Arial"/>
                <w:color w:val="0D0D0D"/>
              </w:rPr>
              <w:t>%</w:t>
            </w:r>
          </w:p>
        </w:tc>
        <w:tc>
          <w:tcPr>
            <w:tcW w:w="1843"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3.50%</w:t>
            </w:r>
          </w:p>
        </w:tc>
        <w:tc>
          <w:tcPr>
            <w:tcW w:w="1701"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3.955</w:t>
            </w:r>
          </w:p>
        </w:tc>
        <w:tc>
          <w:tcPr>
            <w:tcW w:w="1842" w:type="dxa"/>
            <w:tcBorders>
              <w:top w:val="single" w:sz="4" w:space="0" w:color="auto"/>
              <w:left w:val="single" w:sz="4" w:space="0" w:color="auto"/>
              <w:bottom w:val="single" w:sz="12" w:space="0" w:color="auto"/>
              <w:right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4.00%</w:t>
            </w:r>
          </w:p>
        </w:tc>
      </w:tr>
      <w:tr w:rsidR="00B12674" w:rsidRPr="00670B8D" w:rsidTr="00EC2A2D">
        <w:tc>
          <w:tcPr>
            <w:tcW w:w="2268" w:type="dxa"/>
            <w:tcBorders>
              <w:top w:val="single" w:sz="12" w:space="0" w:color="auto"/>
              <w:left w:val="single" w:sz="12" w:space="0" w:color="auto"/>
              <w:bottom w:val="single" w:sz="4" w:space="0" w:color="auto"/>
              <w:right w:val="single" w:sz="4" w:space="0" w:color="auto"/>
            </w:tcBorders>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rPr>
                <w:rFonts w:ascii="Arial" w:hAnsi="Arial" w:cs="Arial"/>
                <w:color w:val="0D0D0D"/>
              </w:rPr>
            </w:pPr>
            <w:r>
              <w:rPr>
                <w:rFonts w:ascii="Arial" w:hAnsi="Arial" w:cs="Arial"/>
                <w:color w:val="0D0D0D"/>
              </w:rPr>
              <w:t>Mar 18</w:t>
            </w:r>
          </w:p>
        </w:tc>
        <w:tc>
          <w:tcPr>
            <w:tcW w:w="1276"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1.25%</w:t>
            </w:r>
          </w:p>
        </w:tc>
        <w:tc>
          <w:tcPr>
            <w:tcW w:w="1843"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2.80%</w:t>
            </w:r>
          </w:p>
        </w:tc>
        <w:tc>
          <w:tcPr>
            <w:tcW w:w="1701"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4.00%</w:t>
            </w:r>
          </w:p>
        </w:tc>
        <w:tc>
          <w:tcPr>
            <w:tcW w:w="1842" w:type="dxa"/>
            <w:tcBorders>
              <w:top w:val="single" w:sz="12" w:space="0" w:color="auto"/>
              <w:left w:val="single" w:sz="4" w:space="0" w:color="auto"/>
              <w:bottom w:val="single" w:sz="4" w:space="0" w:color="auto"/>
              <w:right w:val="single" w:sz="12" w:space="0" w:color="auto"/>
            </w:tcBorders>
          </w:tcPr>
          <w:p w:rsidR="00B12674" w:rsidRPr="00670B8D" w:rsidRDefault="00B12674" w:rsidP="00C16EA7">
            <w:pPr>
              <w:jc w:val="center"/>
              <w:rPr>
                <w:rFonts w:ascii="Arial" w:hAnsi="Arial" w:cs="Arial"/>
                <w:color w:val="0D0D0D"/>
              </w:rPr>
            </w:pPr>
            <w:r>
              <w:rPr>
                <w:rFonts w:ascii="Arial" w:hAnsi="Arial" w:cs="Arial"/>
                <w:color w:val="0D0D0D"/>
              </w:rPr>
              <w:t>3.90%</w:t>
            </w:r>
          </w:p>
        </w:tc>
      </w:tr>
      <w:tr w:rsidR="00B12674" w:rsidRPr="00670B8D" w:rsidTr="00EC2A2D">
        <w:tc>
          <w:tcPr>
            <w:tcW w:w="2268" w:type="dxa"/>
            <w:tcBorders>
              <w:top w:val="single" w:sz="4" w:space="0" w:color="auto"/>
              <w:left w:val="single" w:sz="12" w:space="0" w:color="auto"/>
              <w:bottom w:val="single" w:sz="12" w:space="0" w:color="auto"/>
              <w:right w:val="single" w:sz="4" w:space="0" w:color="auto"/>
            </w:tcBorders>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top w:val="single" w:sz="4" w:space="0" w:color="auto"/>
              <w:left w:val="single" w:sz="4" w:space="0" w:color="auto"/>
              <w:bottom w:val="single" w:sz="12" w:space="0" w:color="auto"/>
              <w:right w:val="single" w:sz="4" w:space="0" w:color="auto"/>
            </w:tcBorders>
          </w:tcPr>
          <w:p w:rsidR="00B12674" w:rsidRDefault="00B12674" w:rsidP="00C16EA7">
            <w:pPr>
              <w:rPr>
                <w:rFonts w:ascii="Arial" w:hAnsi="Arial" w:cs="Arial"/>
                <w:color w:val="0D0D0D"/>
              </w:rPr>
            </w:pPr>
          </w:p>
        </w:tc>
        <w:tc>
          <w:tcPr>
            <w:tcW w:w="1276" w:type="dxa"/>
            <w:tcBorders>
              <w:top w:val="single" w:sz="4" w:space="0" w:color="auto"/>
              <w:left w:val="single" w:sz="4" w:space="0" w:color="auto"/>
              <w:bottom w:val="single" w:sz="12" w:space="0" w:color="auto"/>
              <w:right w:val="single" w:sz="4" w:space="0" w:color="auto"/>
            </w:tcBorders>
          </w:tcPr>
          <w:p w:rsidR="00B12674" w:rsidRDefault="00B12674" w:rsidP="00C16EA7">
            <w:pPr>
              <w:jc w:val="center"/>
              <w:rPr>
                <w:rFonts w:ascii="Arial" w:hAnsi="Arial" w:cs="Arial"/>
                <w:color w:val="0D0D0D"/>
              </w:rPr>
            </w:pPr>
            <w:r>
              <w:rPr>
                <w:rFonts w:ascii="Arial" w:hAnsi="Arial" w:cs="Arial"/>
                <w:color w:val="0D0D0D"/>
              </w:rPr>
              <w:t>-</w:t>
            </w:r>
          </w:p>
        </w:tc>
        <w:tc>
          <w:tcPr>
            <w:tcW w:w="1843" w:type="dxa"/>
            <w:tcBorders>
              <w:top w:val="single" w:sz="4" w:space="0" w:color="auto"/>
              <w:left w:val="single" w:sz="4" w:space="0" w:color="auto"/>
              <w:bottom w:val="single" w:sz="12" w:space="0" w:color="auto"/>
              <w:right w:val="single" w:sz="4" w:space="0" w:color="auto"/>
            </w:tcBorders>
          </w:tcPr>
          <w:p w:rsidR="00B12674" w:rsidRDefault="00EC2A2D" w:rsidP="00C16EA7">
            <w:pPr>
              <w:jc w:val="center"/>
              <w:rPr>
                <w:rFonts w:ascii="Arial" w:hAnsi="Arial" w:cs="Arial"/>
                <w:color w:val="0D0D0D"/>
              </w:rPr>
            </w:pPr>
            <w:r>
              <w:rPr>
                <w:rFonts w:ascii="Arial" w:hAnsi="Arial" w:cs="Arial"/>
                <w:color w:val="0D0D0D"/>
              </w:rPr>
              <w:t>-</w:t>
            </w:r>
          </w:p>
        </w:tc>
        <w:tc>
          <w:tcPr>
            <w:tcW w:w="1701" w:type="dxa"/>
            <w:tcBorders>
              <w:top w:val="single" w:sz="4" w:space="0" w:color="auto"/>
              <w:left w:val="single" w:sz="4" w:space="0" w:color="auto"/>
              <w:bottom w:val="single" w:sz="12" w:space="0" w:color="auto"/>
              <w:right w:val="single" w:sz="4" w:space="0" w:color="auto"/>
            </w:tcBorders>
          </w:tcPr>
          <w:p w:rsidR="00B12674" w:rsidRDefault="00EC2A2D" w:rsidP="00C16EA7">
            <w:pPr>
              <w:jc w:val="center"/>
              <w:rPr>
                <w:rFonts w:ascii="Arial" w:hAnsi="Arial" w:cs="Arial"/>
                <w:color w:val="0D0D0D"/>
              </w:rPr>
            </w:pPr>
            <w:r>
              <w:rPr>
                <w:rFonts w:ascii="Arial" w:hAnsi="Arial" w:cs="Arial"/>
                <w:color w:val="0D0D0D"/>
              </w:rPr>
              <w:t>-</w:t>
            </w:r>
          </w:p>
        </w:tc>
        <w:tc>
          <w:tcPr>
            <w:tcW w:w="1842" w:type="dxa"/>
            <w:tcBorders>
              <w:top w:val="single" w:sz="4" w:space="0" w:color="auto"/>
              <w:left w:val="single" w:sz="4" w:space="0" w:color="auto"/>
              <w:bottom w:val="single" w:sz="12" w:space="0" w:color="auto"/>
              <w:right w:val="single" w:sz="12" w:space="0" w:color="auto"/>
            </w:tcBorders>
          </w:tcPr>
          <w:p w:rsidR="00B12674" w:rsidRDefault="00EC2A2D" w:rsidP="00C16EA7">
            <w:pPr>
              <w:jc w:val="center"/>
              <w:rPr>
                <w:rFonts w:ascii="Arial" w:hAnsi="Arial" w:cs="Arial"/>
                <w:color w:val="0D0D0D"/>
              </w:rPr>
            </w:pPr>
            <w:r>
              <w:rPr>
                <w:rFonts w:ascii="Arial" w:hAnsi="Arial" w:cs="Arial"/>
                <w:color w:val="0D0D0D"/>
              </w:rPr>
              <w:t>-</w:t>
            </w:r>
          </w:p>
        </w:tc>
      </w:tr>
      <w:tr w:rsidR="00B12674" w:rsidRPr="00670B8D" w:rsidTr="00EC2A2D">
        <w:tc>
          <w:tcPr>
            <w:tcW w:w="2268" w:type="dxa"/>
            <w:tcBorders>
              <w:top w:val="single" w:sz="12" w:space="0" w:color="auto"/>
              <w:left w:val="single" w:sz="12" w:space="0" w:color="auto"/>
              <w:bottom w:val="single" w:sz="4"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rPr>
                <w:rFonts w:ascii="Arial" w:hAnsi="Arial" w:cs="Arial"/>
                <w:color w:val="0D0D0D"/>
              </w:rPr>
            </w:pPr>
            <w:r>
              <w:rPr>
                <w:rFonts w:ascii="Arial" w:hAnsi="Arial" w:cs="Arial"/>
                <w:color w:val="0D0D0D"/>
              </w:rPr>
              <w:t>Jun 18</w:t>
            </w:r>
          </w:p>
        </w:tc>
        <w:tc>
          <w:tcPr>
            <w:tcW w:w="1276"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1.50%</w:t>
            </w:r>
          </w:p>
        </w:tc>
        <w:tc>
          <w:tcPr>
            <w:tcW w:w="1843"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2.90%</w:t>
            </w:r>
          </w:p>
        </w:tc>
        <w:tc>
          <w:tcPr>
            <w:tcW w:w="1701"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4.00%</w:t>
            </w:r>
          </w:p>
        </w:tc>
        <w:tc>
          <w:tcPr>
            <w:tcW w:w="1842" w:type="dxa"/>
            <w:tcBorders>
              <w:top w:val="single" w:sz="12" w:space="0" w:color="auto"/>
              <w:left w:val="single" w:sz="4" w:space="0" w:color="auto"/>
              <w:bottom w:val="single" w:sz="4" w:space="0" w:color="auto"/>
              <w:right w:val="single" w:sz="12"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3.90%</w:t>
            </w:r>
          </w:p>
        </w:tc>
      </w:tr>
      <w:tr w:rsidR="00B12674" w:rsidRPr="00670B8D" w:rsidTr="00EC2A2D">
        <w:tc>
          <w:tcPr>
            <w:tcW w:w="2268" w:type="dxa"/>
            <w:tcBorders>
              <w:top w:val="single" w:sz="4" w:space="0" w:color="auto"/>
              <w:left w:val="single" w:sz="12" w:space="0" w:color="auto"/>
              <w:bottom w:val="single" w:sz="12"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p>
        </w:tc>
        <w:tc>
          <w:tcPr>
            <w:tcW w:w="1276"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B12674" w:rsidP="00C16EA7">
            <w:pPr>
              <w:jc w:val="center"/>
              <w:rPr>
                <w:rFonts w:ascii="Arial" w:hAnsi="Arial" w:cs="Arial"/>
                <w:color w:val="0D0D0D"/>
              </w:rPr>
            </w:pPr>
            <w:r>
              <w:rPr>
                <w:rFonts w:ascii="Arial" w:hAnsi="Arial" w:cs="Arial"/>
                <w:color w:val="0D0D0D"/>
              </w:rPr>
              <w:t>-</w:t>
            </w:r>
          </w:p>
        </w:tc>
        <w:tc>
          <w:tcPr>
            <w:tcW w:w="1843"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w:t>
            </w:r>
          </w:p>
        </w:tc>
        <w:tc>
          <w:tcPr>
            <w:tcW w:w="1701"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w:t>
            </w:r>
          </w:p>
        </w:tc>
        <w:tc>
          <w:tcPr>
            <w:tcW w:w="1842" w:type="dxa"/>
            <w:tcBorders>
              <w:top w:val="single" w:sz="4" w:space="0" w:color="auto"/>
              <w:left w:val="single" w:sz="4" w:space="0" w:color="auto"/>
              <w:bottom w:val="single" w:sz="12" w:space="0" w:color="auto"/>
              <w:right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w:t>
            </w:r>
          </w:p>
        </w:tc>
      </w:tr>
      <w:tr w:rsidR="00B12674" w:rsidRPr="00670B8D" w:rsidTr="00EC2A2D">
        <w:tc>
          <w:tcPr>
            <w:tcW w:w="2268" w:type="dxa"/>
            <w:tcBorders>
              <w:top w:val="single" w:sz="12" w:space="0" w:color="auto"/>
              <w:left w:val="single" w:sz="12" w:space="0" w:color="auto"/>
              <w:bottom w:val="single" w:sz="4" w:space="0" w:color="auto"/>
              <w:right w:val="single" w:sz="4" w:space="0" w:color="auto"/>
            </w:tcBorders>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rPr>
                <w:rFonts w:ascii="Arial" w:hAnsi="Arial" w:cs="Arial"/>
                <w:color w:val="0D0D0D"/>
              </w:rPr>
            </w:pPr>
            <w:r>
              <w:rPr>
                <w:rFonts w:ascii="Arial" w:hAnsi="Arial" w:cs="Arial"/>
                <w:color w:val="0D0D0D"/>
              </w:rPr>
              <w:t>Sept 18</w:t>
            </w:r>
          </w:p>
        </w:tc>
        <w:tc>
          <w:tcPr>
            <w:tcW w:w="1276"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1.50%</w:t>
            </w:r>
          </w:p>
        </w:tc>
        <w:tc>
          <w:tcPr>
            <w:tcW w:w="1843"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3.00%</w:t>
            </w:r>
          </w:p>
        </w:tc>
        <w:tc>
          <w:tcPr>
            <w:tcW w:w="1701" w:type="dxa"/>
            <w:tcBorders>
              <w:top w:val="single" w:sz="12" w:space="0" w:color="auto"/>
              <w:left w:val="single" w:sz="4" w:space="0" w:color="auto"/>
              <w:bottom w:val="single" w:sz="4" w:space="0" w:color="auto"/>
              <w:right w:val="single" w:sz="4" w:space="0" w:color="auto"/>
            </w:tcBorders>
          </w:tcPr>
          <w:p w:rsidR="00B12674" w:rsidRPr="00670B8D" w:rsidRDefault="00B12674" w:rsidP="00C16EA7">
            <w:pPr>
              <w:jc w:val="center"/>
              <w:rPr>
                <w:rFonts w:ascii="Arial" w:hAnsi="Arial" w:cs="Arial"/>
                <w:color w:val="0D0D0D"/>
              </w:rPr>
            </w:pPr>
            <w:r>
              <w:rPr>
                <w:rFonts w:ascii="Arial" w:hAnsi="Arial" w:cs="Arial"/>
                <w:color w:val="0D0D0D"/>
              </w:rPr>
              <w:t>4.10%</w:t>
            </w:r>
          </w:p>
        </w:tc>
        <w:tc>
          <w:tcPr>
            <w:tcW w:w="1842" w:type="dxa"/>
            <w:tcBorders>
              <w:top w:val="single" w:sz="12" w:space="0" w:color="auto"/>
              <w:left w:val="single" w:sz="4" w:space="0" w:color="auto"/>
              <w:bottom w:val="single" w:sz="4" w:space="0" w:color="auto"/>
              <w:right w:val="single" w:sz="12" w:space="0" w:color="auto"/>
            </w:tcBorders>
          </w:tcPr>
          <w:p w:rsidR="00B12674" w:rsidRPr="00670B8D" w:rsidRDefault="00B12674" w:rsidP="00C16EA7">
            <w:pPr>
              <w:jc w:val="center"/>
              <w:rPr>
                <w:rFonts w:ascii="Arial" w:hAnsi="Arial" w:cs="Arial"/>
                <w:color w:val="0D0D0D"/>
              </w:rPr>
            </w:pPr>
            <w:r>
              <w:rPr>
                <w:rFonts w:ascii="Arial" w:hAnsi="Arial" w:cs="Arial"/>
                <w:color w:val="0D0D0D"/>
              </w:rPr>
              <w:t>4.00%</w:t>
            </w:r>
          </w:p>
        </w:tc>
      </w:tr>
      <w:tr w:rsidR="00B12674" w:rsidRPr="00670B8D" w:rsidTr="00EC2A2D">
        <w:tc>
          <w:tcPr>
            <w:tcW w:w="2268" w:type="dxa"/>
            <w:tcBorders>
              <w:top w:val="single" w:sz="4" w:space="0" w:color="auto"/>
              <w:left w:val="single" w:sz="12" w:space="0" w:color="auto"/>
              <w:bottom w:val="single" w:sz="12" w:space="0" w:color="auto"/>
              <w:right w:val="single" w:sz="4" w:space="0" w:color="auto"/>
            </w:tcBorders>
          </w:tcPr>
          <w:p w:rsidR="00B12674" w:rsidRDefault="00B12674" w:rsidP="00C16EA7">
            <w:pPr>
              <w:rPr>
                <w:rFonts w:ascii="Arial" w:hAnsi="Arial" w:cs="Arial"/>
                <w:color w:val="0D0D0D"/>
              </w:rPr>
            </w:pPr>
            <w:r>
              <w:rPr>
                <w:rFonts w:ascii="Arial" w:hAnsi="Arial" w:cs="Arial"/>
                <w:color w:val="0D0D0D"/>
              </w:rPr>
              <w:t>Capital Economics</w:t>
            </w:r>
          </w:p>
        </w:tc>
        <w:tc>
          <w:tcPr>
            <w:tcW w:w="1134" w:type="dxa"/>
            <w:tcBorders>
              <w:top w:val="single" w:sz="4" w:space="0" w:color="auto"/>
              <w:left w:val="single" w:sz="4" w:space="0" w:color="auto"/>
              <w:bottom w:val="single" w:sz="12" w:space="0" w:color="auto"/>
              <w:right w:val="single" w:sz="4" w:space="0" w:color="auto"/>
            </w:tcBorders>
          </w:tcPr>
          <w:p w:rsidR="00B12674" w:rsidRDefault="00B12674" w:rsidP="00C16EA7">
            <w:pPr>
              <w:rPr>
                <w:rFonts w:ascii="Arial" w:hAnsi="Arial" w:cs="Arial"/>
                <w:color w:val="0D0D0D"/>
              </w:rPr>
            </w:pPr>
          </w:p>
        </w:tc>
        <w:tc>
          <w:tcPr>
            <w:tcW w:w="1276" w:type="dxa"/>
            <w:tcBorders>
              <w:top w:val="single" w:sz="4" w:space="0" w:color="auto"/>
              <w:left w:val="single" w:sz="4" w:space="0" w:color="auto"/>
              <w:bottom w:val="single" w:sz="12" w:space="0" w:color="auto"/>
              <w:right w:val="single" w:sz="4" w:space="0" w:color="auto"/>
            </w:tcBorders>
          </w:tcPr>
          <w:p w:rsidR="00B12674" w:rsidRDefault="00B12674" w:rsidP="00C16EA7">
            <w:pPr>
              <w:jc w:val="center"/>
              <w:rPr>
                <w:rFonts w:ascii="Arial" w:hAnsi="Arial" w:cs="Arial"/>
                <w:color w:val="0D0D0D"/>
              </w:rPr>
            </w:pPr>
            <w:r>
              <w:rPr>
                <w:rFonts w:ascii="Arial" w:hAnsi="Arial" w:cs="Arial"/>
                <w:color w:val="0D0D0D"/>
              </w:rPr>
              <w:t>-</w:t>
            </w:r>
          </w:p>
        </w:tc>
        <w:tc>
          <w:tcPr>
            <w:tcW w:w="1843" w:type="dxa"/>
            <w:tcBorders>
              <w:top w:val="single" w:sz="4" w:space="0" w:color="auto"/>
              <w:left w:val="single" w:sz="4" w:space="0" w:color="auto"/>
              <w:bottom w:val="single" w:sz="12" w:space="0" w:color="auto"/>
              <w:right w:val="single" w:sz="4" w:space="0" w:color="auto"/>
            </w:tcBorders>
          </w:tcPr>
          <w:p w:rsidR="00B12674" w:rsidRDefault="00EC2A2D" w:rsidP="00C16EA7">
            <w:pPr>
              <w:jc w:val="center"/>
              <w:rPr>
                <w:rFonts w:ascii="Arial" w:hAnsi="Arial" w:cs="Arial"/>
                <w:color w:val="0D0D0D"/>
              </w:rPr>
            </w:pPr>
            <w:r>
              <w:rPr>
                <w:rFonts w:ascii="Arial" w:hAnsi="Arial" w:cs="Arial"/>
                <w:color w:val="0D0D0D"/>
              </w:rPr>
              <w:t>-</w:t>
            </w:r>
          </w:p>
        </w:tc>
        <w:tc>
          <w:tcPr>
            <w:tcW w:w="1701" w:type="dxa"/>
            <w:tcBorders>
              <w:top w:val="single" w:sz="4" w:space="0" w:color="auto"/>
              <w:left w:val="single" w:sz="4" w:space="0" w:color="auto"/>
              <w:bottom w:val="single" w:sz="12" w:space="0" w:color="auto"/>
              <w:right w:val="single" w:sz="4" w:space="0" w:color="auto"/>
            </w:tcBorders>
          </w:tcPr>
          <w:p w:rsidR="00B12674" w:rsidRDefault="00EC2A2D" w:rsidP="00C16EA7">
            <w:pPr>
              <w:jc w:val="center"/>
              <w:rPr>
                <w:rFonts w:ascii="Arial" w:hAnsi="Arial" w:cs="Arial"/>
                <w:color w:val="0D0D0D"/>
              </w:rPr>
            </w:pPr>
            <w:r>
              <w:rPr>
                <w:rFonts w:ascii="Arial" w:hAnsi="Arial" w:cs="Arial"/>
                <w:color w:val="0D0D0D"/>
              </w:rPr>
              <w:t>-</w:t>
            </w:r>
          </w:p>
        </w:tc>
        <w:tc>
          <w:tcPr>
            <w:tcW w:w="1842" w:type="dxa"/>
            <w:tcBorders>
              <w:top w:val="single" w:sz="4" w:space="0" w:color="auto"/>
              <w:left w:val="single" w:sz="4" w:space="0" w:color="auto"/>
              <w:bottom w:val="single" w:sz="12" w:space="0" w:color="auto"/>
              <w:right w:val="single" w:sz="12" w:space="0" w:color="auto"/>
            </w:tcBorders>
          </w:tcPr>
          <w:p w:rsidR="00B12674" w:rsidRDefault="00EC2A2D" w:rsidP="00C16EA7">
            <w:pPr>
              <w:jc w:val="center"/>
              <w:rPr>
                <w:rFonts w:ascii="Arial" w:hAnsi="Arial" w:cs="Arial"/>
                <w:color w:val="0D0D0D"/>
              </w:rPr>
            </w:pPr>
            <w:r>
              <w:rPr>
                <w:rFonts w:ascii="Arial" w:hAnsi="Arial" w:cs="Arial"/>
                <w:color w:val="0D0D0D"/>
              </w:rPr>
              <w:t>-</w:t>
            </w:r>
          </w:p>
        </w:tc>
      </w:tr>
      <w:bookmarkEnd w:id="2"/>
      <w:tr w:rsidR="00B12674" w:rsidRPr="00670B8D" w:rsidTr="00EC2A2D">
        <w:tc>
          <w:tcPr>
            <w:tcW w:w="2268" w:type="dxa"/>
            <w:tcBorders>
              <w:top w:val="single" w:sz="12" w:space="0" w:color="auto"/>
              <w:left w:val="single" w:sz="12" w:space="0" w:color="auto"/>
              <w:bottom w:val="single" w:sz="4"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r>
              <w:rPr>
                <w:rFonts w:ascii="Arial" w:hAnsi="Arial" w:cs="Arial"/>
                <w:color w:val="0D0D0D"/>
              </w:rPr>
              <w:t>Capita</w:t>
            </w:r>
          </w:p>
        </w:tc>
        <w:tc>
          <w:tcPr>
            <w:tcW w:w="1134"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rPr>
                <w:rFonts w:ascii="Arial" w:hAnsi="Arial" w:cs="Arial"/>
                <w:color w:val="0D0D0D"/>
              </w:rPr>
            </w:pPr>
            <w:r>
              <w:rPr>
                <w:rFonts w:ascii="Arial" w:hAnsi="Arial" w:cs="Arial"/>
                <w:color w:val="0D0D0D"/>
              </w:rPr>
              <w:t>Dec 18</w:t>
            </w:r>
          </w:p>
        </w:tc>
        <w:tc>
          <w:tcPr>
            <w:tcW w:w="1276"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1.75%</w:t>
            </w:r>
          </w:p>
        </w:tc>
        <w:tc>
          <w:tcPr>
            <w:tcW w:w="1843"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3.10%</w:t>
            </w:r>
          </w:p>
        </w:tc>
        <w:tc>
          <w:tcPr>
            <w:tcW w:w="1701" w:type="dxa"/>
            <w:tcBorders>
              <w:top w:val="single" w:sz="12" w:space="0" w:color="auto"/>
              <w:left w:val="single" w:sz="4" w:space="0" w:color="auto"/>
              <w:bottom w:val="single" w:sz="4" w:space="0" w:color="auto"/>
              <w:right w:val="single" w:sz="4"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4.10%</w:t>
            </w:r>
          </w:p>
        </w:tc>
        <w:tc>
          <w:tcPr>
            <w:tcW w:w="1842" w:type="dxa"/>
            <w:tcBorders>
              <w:top w:val="single" w:sz="12" w:space="0" w:color="auto"/>
              <w:left w:val="single" w:sz="4" w:space="0" w:color="auto"/>
              <w:bottom w:val="single" w:sz="4" w:space="0" w:color="auto"/>
              <w:right w:val="single" w:sz="12" w:space="0" w:color="auto"/>
            </w:tcBorders>
            <w:shd w:val="clear" w:color="auto" w:fill="C6D9F1" w:themeFill="text2" w:themeFillTint="33"/>
          </w:tcPr>
          <w:p w:rsidR="00B12674" w:rsidRPr="00670B8D" w:rsidRDefault="00B12674" w:rsidP="00C16EA7">
            <w:pPr>
              <w:jc w:val="center"/>
              <w:rPr>
                <w:rFonts w:ascii="Arial" w:hAnsi="Arial" w:cs="Arial"/>
                <w:color w:val="0D0D0D"/>
              </w:rPr>
            </w:pPr>
            <w:r>
              <w:rPr>
                <w:rFonts w:ascii="Arial" w:hAnsi="Arial" w:cs="Arial"/>
                <w:color w:val="0D0D0D"/>
              </w:rPr>
              <w:t>4.00%</w:t>
            </w:r>
          </w:p>
        </w:tc>
      </w:tr>
      <w:tr w:rsidR="00B12674" w:rsidRPr="00670B8D" w:rsidTr="00EC2A2D">
        <w:tc>
          <w:tcPr>
            <w:tcW w:w="2268" w:type="dxa"/>
            <w:tcBorders>
              <w:top w:val="single" w:sz="4" w:space="0" w:color="auto"/>
              <w:left w:val="single" w:sz="12" w:space="0" w:color="auto"/>
              <w:bottom w:val="single" w:sz="12"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bookmarkStart w:id="3" w:name="_Toc338666414"/>
            <w:bookmarkStart w:id="4" w:name="_Toc338666568"/>
            <w:bookmarkStart w:id="5" w:name="_Toc338669424"/>
            <w:bookmarkEnd w:id="3"/>
            <w:bookmarkEnd w:id="4"/>
            <w:bookmarkEnd w:id="5"/>
            <w:r>
              <w:rPr>
                <w:rFonts w:ascii="Arial" w:hAnsi="Arial" w:cs="Arial"/>
                <w:color w:val="0D0D0D"/>
              </w:rPr>
              <w:t>Capital Economics</w:t>
            </w:r>
          </w:p>
        </w:tc>
        <w:tc>
          <w:tcPr>
            <w:tcW w:w="1134"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B12674" w:rsidP="00C16EA7">
            <w:pPr>
              <w:rPr>
                <w:rFonts w:ascii="Arial" w:hAnsi="Arial" w:cs="Arial"/>
                <w:color w:val="0D0D0D"/>
              </w:rPr>
            </w:pPr>
          </w:p>
        </w:tc>
        <w:tc>
          <w:tcPr>
            <w:tcW w:w="1276"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B12674" w:rsidP="00C16EA7">
            <w:pPr>
              <w:jc w:val="center"/>
              <w:rPr>
                <w:rFonts w:ascii="Arial" w:hAnsi="Arial" w:cs="Arial"/>
                <w:color w:val="0D0D0D"/>
              </w:rPr>
            </w:pPr>
            <w:r>
              <w:rPr>
                <w:rFonts w:ascii="Arial" w:hAnsi="Arial" w:cs="Arial"/>
                <w:color w:val="0D0D0D"/>
              </w:rPr>
              <w:t>-</w:t>
            </w:r>
          </w:p>
        </w:tc>
        <w:tc>
          <w:tcPr>
            <w:tcW w:w="1843"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w:t>
            </w:r>
          </w:p>
        </w:tc>
        <w:tc>
          <w:tcPr>
            <w:tcW w:w="1701" w:type="dxa"/>
            <w:tcBorders>
              <w:top w:val="single" w:sz="4" w:space="0" w:color="auto"/>
              <w:left w:val="single" w:sz="4" w:space="0" w:color="auto"/>
              <w:bottom w:val="single" w:sz="12" w:space="0" w:color="auto"/>
              <w:right w:val="single" w:sz="4"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w:t>
            </w:r>
          </w:p>
        </w:tc>
        <w:tc>
          <w:tcPr>
            <w:tcW w:w="1842" w:type="dxa"/>
            <w:tcBorders>
              <w:top w:val="single" w:sz="4" w:space="0" w:color="auto"/>
              <w:left w:val="single" w:sz="4" w:space="0" w:color="auto"/>
              <w:bottom w:val="single" w:sz="12" w:space="0" w:color="auto"/>
              <w:right w:val="single" w:sz="12" w:space="0" w:color="auto"/>
            </w:tcBorders>
            <w:shd w:val="clear" w:color="auto" w:fill="C6D9F1" w:themeFill="text2" w:themeFillTint="33"/>
          </w:tcPr>
          <w:p w:rsidR="00B12674" w:rsidRDefault="00EC2A2D" w:rsidP="00C16EA7">
            <w:pPr>
              <w:jc w:val="center"/>
              <w:rPr>
                <w:rFonts w:ascii="Arial" w:hAnsi="Arial" w:cs="Arial"/>
                <w:color w:val="0D0D0D"/>
              </w:rPr>
            </w:pPr>
            <w:r>
              <w:rPr>
                <w:rFonts w:ascii="Arial" w:hAnsi="Arial" w:cs="Arial"/>
                <w:color w:val="0D0D0D"/>
              </w:rPr>
              <w:t>-</w:t>
            </w:r>
          </w:p>
        </w:tc>
      </w:tr>
    </w:tbl>
    <w:p w:rsidR="00D6535E" w:rsidRPr="00B12674" w:rsidRDefault="00D6535E" w:rsidP="00B12674">
      <w:pPr>
        <w:sectPr w:rsidR="00D6535E" w:rsidRPr="00B12674" w:rsidSect="00EC2A2D">
          <w:pgSz w:w="16838" w:h="11906" w:orient="landscape"/>
          <w:pgMar w:top="1440" w:right="567" w:bottom="1440" w:left="425" w:header="709" w:footer="709" w:gutter="0"/>
          <w:cols w:space="708"/>
          <w:docGrid w:linePitch="360"/>
        </w:sectPr>
      </w:pPr>
      <w:bookmarkStart w:id="6" w:name="_Toc339459896"/>
    </w:p>
    <w:p w:rsidR="00D6535E" w:rsidRPr="005623C1" w:rsidRDefault="00D6535E" w:rsidP="00D6535E">
      <w:pPr>
        <w:jc w:val="right"/>
        <w:rPr>
          <w:rFonts w:ascii="Arial" w:hAnsi="Arial" w:cs="Arial"/>
          <w:b/>
        </w:rPr>
      </w:pPr>
      <w:r w:rsidRPr="005623C1">
        <w:rPr>
          <w:rFonts w:ascii="Arial" w:hAnsi="Arial" w:cs="Arial"/>
          <w:b/>
        </w:rPr>
        <w:lastRenderedPageBreak/>
        <w:t>Appendix 2</w:t>
      </w:r>
      <w:bookmarkEnd w:id="6"/>
      <w:r w:rsidRPr="005623C1">
        <w:rPr>
          <w:rFonts w:ascii="Arial" w:hAnsi="Arial" w:cs="Arial"/>
          <w:b/>
        </w:rPr>
        <w:t xml:space="preserve"> </w:t>
      </w:r>
    </w:p>
    <w:p w:rsidR="00D6535E" w:rsidRPr="005623C1" w:rsidRDefault="00D6535E" w:rsidP="00D6535E">
      <w:pPr>
        <w:rPr>
          <w:rFonts w:ascii="Arial" w:hAnsi="Arial" w:cs="Arial"/>
          <w:b/>
        </w:rPr>
      </w:pPr>
      <w:r w:rsidRPr="005623C1">
        <w:rPr>
          <w:rFonts w:ascii="Arial" w:hAnsi="Arial" w:cs="Arial"/>
          <w:b/>
        </w:rPr>
        <w:t>Economic Background</w:t>
      </w:r>
    </w:p>
    <w:p w:rsidR="00D6535E" w:rsidRDefault="00D6535E" w:rsidP="00D6535E">
      <w:pPr>
        <w:rPr>
          <w:rFonts w:ascii="Arial" w:hAnsi="Arial" w:cs="Arial"/>
          <w:b/>
        </w:rPr>
      </w:pPr>
    </w:p>
    <w:p w:rsidR="00D6535E" w:rsidRPr="005623C1" w:rsidRDefault="00D6535E" w:rsidP="00D6535E">
      <w:pPr>
        <w:rPr>
          <w:rFonts w:ascii="Arial" w:hAnsi="Arial" w:cs="Arial"/>
          <w:b/>
        </w:rPr>
      </w:pPr>
      <w:r w:rsidRPr="005623C1">
        <w:rPr>
          <w:rFonts w:ascii="Arial" w:hAnsi="Arial" w:cs="Arial"/>
          <w:b/>
        </w:rPr>
        <w:t>Capita Asset Services View (</w:t>
      </w:r>
      <w:r w:rsidR="00D8108B">
        <w:rPr>
          <w:rFonts w:ascii="Arial" w:hAnsi="Arial" w:cs="Arial"/>
          <w:b/>
        </w:rPr>
        <w:t>November 2015</w:t>
      </w:r>
      <w:r w:rsidRPr="005623C1">
        <w:rPr>
          <w:rFonts w:ascii="Arial" w:hAnsi="Arial" w:cs="Arial"/>
          <w:b/>
        </w:rPr>
        <w:t>)</w:t>
      </w:r>
    </w:p>
    <w:p w:rsidR="00D6535E" w:rsidRPr="005623C1" w:rsidRDefault="00D6535E" w:rsidP="00D6535E">
      <w:pPr>
        <w:rPr>
          <w:rFonts w:ascii="Arial" w:hAnsi="Arial" w:cs="Arial"/>
          <w:b/>
        </w:rPr>
      </w:pPr>
    </w:p>
    <w:p w:rsidR="00D8108B" w:rsidRDefault="00D8108B" w:rsidP="00D8108B">
      <w:pPr>
        <w:pStyle w:val="BodyText"/>
        <w:numPr>
          <w:ilvl w:val="12"/>
          <w:numId w:val="0"/>
        </w:numPr>
        <w:jc w:val="both"/>
        <w:rPr>
          <w:rFonts w:ascii="Arial" w:hAnsi="Arial" w:cs="Arial"/>
          <w:noProof/>
          <w:sz w:val="22"/>
          <w:szCs w:val="22"/>
        </w:rPr>
      </w:pPr>
      <w:r w:rsidRPr="00E23167">
        <w:rPr>
          <w:rFonts w:ascii="Arial" w:hAnsi="Arial" w:cs="Arial"/>
          <w:b/>
          <w:noProof/>
          <w:sz w:val="22"/>
          <w:szCs w:val="22"/>
        </w:rPr>
        <w:t>UK.</w:t>
      </w:r>
      <w:r w:rsidRPr="00E23167">
        <w:rPr>
          <w:rFonts w:ascii="Arial" w:hAnsi="Arial" w:cs="Arial"/>
          <w:noProof/>
          <w:sz w:val="22"/>
          <w:szCs w:val="22"/>
        </w:rPr>
        <w:t xml:space="preserve"> UK GDP growth rates in 2013 of 2.2% and 2.9% in 2014 were the strongest growth rates of any G7 country; the 2014 growth rate was also the strongest UK rate since 2006 and the 2015 growth rate is likely to be a leading rate in the G7 again, p</w:t>
      </w:r>
      <w:r>
        <w:rPr>
          <w:rFonts w:ascii="Arial" w:hAnsi="Arial" w:cs="Arial"/>
          <w:noProof/>
          <w:sz w:val="22"/>
          <w:szCs w:val="22"/>
        </w:rPr>
        <w:t>robably being second to the US.</w:t>
      </w:r>
      <w:r w:rsidRPr="00E23167">
        <w:rPr>
          <w:rFonts w:ascii="Arial" w:hAnsi="Arial" w:cs="Arial"/>
          <w:noProof/>
          <w:sz w:val="22"/>
          <w:szCs w:val="22"/>
        </w:rPr>
        <w:t xml:space="preserve"> However, quarter 1 of 2015 was weak at +0.4% (+2.9% y/y) though there was a rebound in quarter 2 to +0.7% (+2.4% y/y)</w:t>
      </w:r>
      <w:r>
        <w:rPr>
          <w:rFonts w:ascii="Arial" w:hAnsi="Arial" w:cs="Arial"/>
          <w:noProof/>
          <w:sz w:val="22"/>
          <w:szCs w:val="22"/>
        </w:rPr>
        <w:t xml:space="preserve"> before weakening again to </w:t>
      </w:r>
      <w:r w:rsidRPr="00E23167">
        <w:rPr>
          <w:rFonts w:ascii="Arial" w:hAnsi="Arial" w:cs="Arial"/>
          <w:noProof/>
          <w:sz w:val="22"/>
          <w:szCs w:val="22"/>
        </w:rPr>
        <w:t>+0.5%</w:t>
      </w:r>
      <w:r>
        <w:rPr>
          <w:rFonts w:ascii="Arial" w:hAnsi="Arial" w:cs="Arial"/>
          <w:noProof/>
          <w:sz w:val="22"/>
          <w:szCs w:val="22"/>
        </w:rPr>
        <w:t xml:space="preserve"> (2.3% y/y)</w:t>
      </w:r>
      <w:r w:rsidRPr="00E23167">
        <w:rPr>
          <w:rFonts w:ascii="Arial" w:hAnsi="Arial" w:cs="Arial"/>
          <w:noProof/>
          <w:sz w:val="22"/>
          <w:szCs w:val="22"/>
        </w:rPr>
        <w:t xml:space="preserve"> in quarter 3</w:t>
      </w:r>
      <w:r>
        <w:rPr>
          <w:rFonts w:ascii="Arial" w:hAnsi="Arial" w:cs="Arial"/>
          <w:noProof/>
          <w:sz w:val="22"/>
          <w:szCs w:val="22"/>
        </w:rPr>
        <w:t>.</w:t>
      </w:r>
      <w:r w:rsidRPr="00E23167">
        <w:rPr>
          <w:rFonts w:ascii="Arial" w:hAnsi="Arial" w:cs="Arial"/>
          <w:noProof/>
          <w:sz w:val="22"/>
          <w:szCs w:val="22"/>
        </w:rPr>
        <w:t xml:space="preserve"> </w:t>
      </w:r>
      <w:r>
        <w:rPr>
          <w:rFonts w:ascii="Arial" w:hAnsi="Arial" w:cs="Arial"/>
          <w:noProof/>
          <w:sz w:val="22"/>
          <w:szCs w:val="22"/>
        </w:rPr>
        <w:t>T</w:t>
      </w:r>
      <w:r w:rsidRPr="00E23167">
        <w:rPr>
          <w:rFonts w:ascii="Arial" w:hAnsi="Arial" w:cs="Arial"/>
          <w:noProof/>
          <w:sz w:val="22"/>
          <w:szCs w:val="22"/>
        </w:rPr>
        <w:t xml:space="preserve">he </w:t>
      </w:r>
      <w:r>
        <w:rPr>
          <w:rFonts w:ascii="Arial" w:hAnsi="Arial" w:cs="Arial"/>
          <w:noProof/>
          <w:sz w:val="22"/>
          <w:szCs w:val="22"/>
        </w:rPr>
        <w:t xml:space="preserve">November </w:t>
      </w:r>
      <w:r w:rsidRPr="00E23167">
        <w:rPr>
          <w:rFonts w:ascii="Arial" w:hAnsi="Arial" w:cs="Arial"/>
          <w:noProof/>
          <w:sz w:val="22"/>
          <w:szCs w:val="22"/>
        </w:rPr>
        <w:t>Bank of England Inflation Report included a forecast</w:t>
      </w:r>
      <w:r>
        <w:rPr>
          <w:rFonts w:ascii="Arial" w:hAnsi="Arial" w:cs="Arial"/>
          <w:noProof/>
          <w:sz w:val="22"/>
          <w:szCs w:val="22"/>
        </w:rPr>
        <w:t xml:space="preserve"> for growth to remain around 2.5</w:t>
      </w:r>
      <w:r w:rsidRPr="00E23167">
        <w:rPr>
          <w:rFonts w:ascii="Arial" w:hAnsi="Arial" w:cs="Arial"/>
          <w:noProof/>
          <w:sz w:val="22"/>
          <w:szCs w:val="22"/>
        </w:rPr>
        <w:t xml:space="preserve"> – 2.</w:t>
      </w:r>
      <w:r>
        <w:rPr>
          <w:rFonts w:ascii="Arial" w:hAnsi="Arial" w:cs="Arial"/>
          <w:noProof/>
          <w:sz w:val="22"/>
          <w:szCs w:val="22"/>
        </w:rPr>
        <w:t>7</w:t>
      </w:r>
      <w:r w:rsidRPr="00E23167">
        <w:rPr>
          <w:rFonts w:ascii="Arial" w:hAnsi="Arial" w:cs="Arial"/>
          <w:noProof/>
          <w:sz w:val="22"/>
          <w:szCs w:val="22"/>
        </w:rPr>
        <w:t xml:space="preserve">% over the next three years, driven mainly by strong consumer demand as the squeeze on the disposable incomes of consumers has been reversed by a recovery in wage inflation at the same time that CPI inflation has fallen to, or near to, zero </w:t>
      </w:r>
      <w:r>
        <w:rPr>
          <w:rFonts w:ascii="Arial" w:hAnsi="Arial" w:cs="Arial"/>
          <w:noProof/>
          <w:sz w:val="22"/>
          <w:szCs w:val="22"/>
        </w:rPr>
        <w:t>since February 2015 this year</w:t>
      </w:r>
      <w:r w:rsidRPr="00E23167">
        <w:rPr>
          <w:rFonts w:ascii="Arial" w:hAnsi="Arial" w:cs="Arial"/>
          <w:noProof/>
          <w:sz w:val="22"/>
          <w:szCs w:val="22"/>
        </w:rPr>
        <w:t xml:space="preserve">.  Investment expenditure is also expected to support growth. However, since the </w:t>
      </w:r>
      <w:r>
        <w:rPr>
          <w:rFonts w:ascii="Arial" w:hAnsi="Arial" w:cs="Arial"/>
          <w:noProof/>
          <w:sz w:val="22"/>
          <w:szCs w:val="22"/>
        </w:rPr>
        <w:t xml:space="preserve">August Inflation </w:t>
      </w:r>
      <w:r w:rsidRPr="00E23167">
        <w:rPr>
          <w:rFonts w:ascii="Arial" w:hAnsi="Arial" w:cs="Arial"/>
          <w:noProof/>
          <w:sz w:val="22"/>
          <w:szCs w:val="22"/>
        </w:rPr>
        <w:t xml:space="preserve">report was issued, worldwide economic statistics have distinctly weakened </w:t>
      </w:r>
      <w:r>
        <w:rPr>
          <w:rFonts w:ascii="Arial" w:hAnsi="Arial" w:cs="Arial"/>
          <w:noProof/>
          <w:sz w:val="22"/>
          <w:szCs w:val="22"/>
        </w:rPr>
        <w:t xml:space="preserve">and </w:t>
      </w:r>
      <w:r w:rsidRPr="00E23167">
        <w:rPr>
          <w:rFonts w:ascii="Arial" w:hAnsi="Arial" w:cs="Arial"/>
          <w:noProof/>
          <w:sz w:val="22"/>
          <w:szCs w:val="22"/>
        </w:rPr>
        <w:t xml:space="preserve">the </w:t>
      </w:r>
      <w:r>
        <w:rPr>
          <w:rFonts w:ascii="Arial" w:hAnsi="Arial" w:cs="Arial"/>
          <w:noProof/>
          <w:sz w:val="22"/>
          <w:szCs w:val="22"/>
        </w:rPr>
        <w:t xml:space="preserve">November </w:t>
      </w:r>
      <w:r w:rsidRPr="00E23167">
        <w:rPr>
          <w:rFonts w:ascii="Arial" w:hAnsi="Arial" w:cs="Arial"/>
          <w:noProof/>
          <w:sz w:val="22"/>
          <w:szCs w:val="22"/>
        </w:rPr>
        <w:t xml:space="preserve">Inflation Report </w:t>
      </w:r>
      <w:r>
        <w:rPr>
          <w:rFonts w:ascii="Arial" w:hAnsi="Arial" w:cs="Arial"/>
          <w:noProof/>
          <w:sz w:val="22"/>
          <w:szCs w:val="22"/>
        </w:rPr>
        <w:t>flagged up particular concerns for the potential impact on the UK</w:t>
      </w:r>
      <w:r w:rsidRPr="00E23167">
        <w:rPr>
          <w:rFonts w:ascii="Arial" w:hAnsi="Arial" w:cs="Arial"/>
          <w:noProof/>
          <w:sz w:val="22"/>
          <w:szCs w:val="22"/>
        </w:rPr>
        <w:t>.</w:t>
      </w:r>
    </w:p>
    <w:p w:rsidR="00D8108B" w:rsidRPr="00E23167" w:rsidRDefault="00D8108B" w:rsidP="00D8108B">
      <w:pPr>
        <w:pStyle w:val="BodyText"/>
        <w:numPr>
          <w:ilvl w:val="12"/>
          <w:numId w:val="0"/>
        </w:numPr>
        <w:jc w:val="both"/>
        <w:rPr>
          <w:rFonts w:ascii="Arial" w:hAnsi="Arial" w:cs="Arial"/>
          <w:noProof/>
          <w:sz w:val="22"/>
          <w:szCs w:val="22"/>
        </w:rPr>
      </w:pPr>
    </w:p>
    <w:p w:rsidR="00D8108B" w:rsidRDefault="00D8108B" w:rsidP="00D8108B">
      <w:pPr>
        <w:pStyle w:val="BodyText"/>
        <w:numPr>
          <w:ilvl w:val="12"/>
          <w:numId w:val="0"/>
        </w:numPr>
        <w:jc w:val="both"/>
        <w:rPr>
          <w:rFonts w:ascii="Arial" w:hAnsi="Arial" w:cs="Arial"/>
          <w:noProof/>
          <w:sz w:val="22"/>
          <w:szCs w:val="22"/>
        </w:rPr>
      </w:pPr>
      <w:r w:rsidRPr="000D1935">
        <w:rPr>
          <w:rFonts w:ascii="Arial" w:hAnsi="Arial" w:cs="Arial"/>
          <w:color w:val="0D0D0D" w:themeColor="text1" w:themeTint="F2"/>
          <w:spacing w:val="-5"/>
          <w:sz w:val="22"/>
          <w:szCs w:val="22"/>
        </w:rPr>
        <w:t xml:space="preserve">The Inflation Report was notably subdued in respect of </w:t>
      </w:r>
      <w:r>
        <w:rPr>
          <w:rFonts w:ascii="Arial" w:hAnsi="Arial" w:cs="Arial"/>
          <w:color w:val="0D0D0D" w:themeColor="text1" w:themeTint="F2"/>
          <w:spacing w:val="-5"/>
        </w:rPr>
        <w:t xml:space="preserve">the forecasts for </w:t>
      </w:r>
      <w:r w:rsidRPr="000D1935">
        <w:rPr>
          <w:rFonts w:ascii="Arial" w:hAnsi="Arial" w:cs="Arial"/>
          <w:color w:val="0D0D0D" w:themeColor="text1" w:themeTint="F2"/>
          <w:spacing w:val="-5"/>
          <w:sz w:val="22"/>
          <w:szCs w:val="22"/>
        </w:rPr>
        <w:t>inflation</w:t>
      </w:r>
      <w:r>
        <w:rPr>
          <w:rFonts w:ascii="Arial" w:hAnsi="Arial" w:cs="Arial"/>
          <w:color w:val="0D0D0D" w:themeColor="text1" w:themeTint="F2"/>
          <w:spacing w:val="-5"/>
        </w:rPr>
        <w:t xml:space="preserve">; this </w:t>
      </w:r>
      <w:r w:rsidRPr="000D1935">
        <w:rPr>
          <w:rFonts w:ascii="Arial" w:hAnsi="Arial" w:cs="Arial"/>
          <w:color w:val="0D0D0D" w:themeColor="text1" w:themeTint="F2"/>
          <w:spacing w:val="-5"/>
          <w:sz w:val="22"/>
          <w:szCs w:val="22"/>
        </w:rPr>
        <w:t xml:space="preserve">was </w:t>
      </w:r>
      <w:r>
        <w:rPr>
          <w:rFonts w:ascii="Arial" w:hAnsi="Arial" w:cs="Arial"/>
          <w:color w:val="0D0D0D" w:themeColor="text1" w:themeTint="F2"/>
          <w:spacing w:val="-5"/>
        </w:rPr>
        <w:t xml:space="preserve">expected </w:t>
      </w:r>
      <w:r w:rsidRPr="000D1935">
        <w:rPr>
          <w:rFonts w:ascii="Arial" w:hAnsi="Arial" w:cs="Arial"/>
          <w:color w:val="0D0D0D" w:themeColor="text1" w:themeTint="F2"/>
          <w:spacing w:val="-5"/>
          <w:sz w:val="22"/>
          <w:szCs w:val="22"/>
        </w:rPr>
        <w:t>to barely get back up to the 2% target within the 2-3 year time horizon.</w:t>
      </w:r>
      <w:r>
        <w:rPr>
          <w:rFonts w:ascii="Arial" w:hAnsi="Arial" w:cs="Arial"/>
          <w:color w:val="0D0D0D" w:themeColor="text1" w:themeTint="F2"/>
          <w:spacing w:val="-5"/>
          <w:sz w:val="22"/>
          <w:szCs w:val="22"/>
        </w:rPr>
        <w:t xml:space="preserve"> </w:t>
      </w:r>
      <w:r w:rsidRPr="005A0FEE">
        <w:rPr>
          <w:rFonts w:ascii="Arial" w:hAnsi="Arial" w:cs="Arial"/>
          <w:noProof/>
          <w:sz w:val="22"/>
          <w:szCs w:val="22"/>
        </w:rPr>
        <w:t xml:space="preserve">However, once the falls in oil, gas and food prices over recent months fall out of the 12 month calculation of CPI, there will be a sharp tick up from the current zero rate to around </w:t>
      </w:r>
      <w:r w:rsidRPr="009C0D7B">
        <w:rPr>
          <w:rFonts w:ascii="Arial" w:hAnsi="Arial" w:cs="Arial"/>
          <w:noProof/>
          <w:sz w:val="22"/>
          <w:szCs w:val="22"/>
        </w:rPr>
        <w:t xml:space="preserve">1 percent </w:t>
      </w:r>
      <w:r w:rsidRPr="005A0FEE">
        <w:rPr>
          <w:rFonts w:ascii="Arial" w:hAnsi="Arial" w:cs="Arial"/>
          <w:noProof/>
          <w:sz w:val="22"/>
          <w:szCs w:val="22"/>
        </w:rPr>
        <w:t>in</w:t>
      </w:r>
      <w:r w:rsidRPr="009C0D7B">
        <w:rPr>
          <w:rFonts w:ascii="Arial" w:hAnsi="Arial" w:cs="Arial"/>
          <w:noProof/>
          <w:sz w:val="22"/>
          <w:szCs w:val="22"/>
        </w:rPr>
        <w:t xml:space="preserve"> the second half of 2016.</w:t>
      </w:r>
      <w:r>
        <w:rPr>
          <w:rFonts w:ascii="Arial" w:hAnsi="Arial" w:cs="Arial"/>
          <w:noProof/>
          <w:sz w:val="22"/>
          <w:szCs w:val="22"/>
        </w:rPr>
        <w:t xml:space="preserve"> The i</w:t>
      </w:r>
      <w:r w:rsidRPr="005A0FEE">
        <w:rPr>
          <w:rFonts w:ascii="Arial" w:hAnsi="Arial" w:cs="Arial"/>
          <w:noProof/>
          <w:sz w:val="22"/>
          <w:szCs w:val="22"/>
        </w:rPr>
        <w:t xml:space="preserve">ncrease </w:t>
      </w:r>
      <w:r>
        <w:rPr>
          <w:rFonts w:ascii="Arial" w:hAnsi="Arial" w:cs="Arial"/>
          <w:noProof/>
          <w:sz w:val="22"/>
          <w:szCs w:val="22"/>
        </w:rPr>
        <w:t xml:space="preserve">in the forecast for inflation </w:t>
      </w:r>
      <w:r w:rsidRPr="005A0FEE">
        <w:rPr>
          <w:rFonts w:ascii="Arial" w:hAnsi="Arial" w:cs="Arial"/>
          <w:noProof/>
          <w:sz w:val="22"/>
          <w:szCs w:val="22"/>
        </w:rPr>
        <w:t xml:space="preserve">at the three year horizon </w:t>
      </w:r>
      <w:r>
        <w:rPr>
          <w:rFonts w:ascii="Arial" w:hAnsi="Arial" w:cs="Arial"/>
          <w:noProof/>
          <w:sz w:val="22"/>
          <w:szCs w:val="22"/>
        </w:rPr>
        <w:t>was</w:t>
      </w:r>
      <w:r w:rsidRPr="005A0FEE">
        <w:rPr>
          <w:rFonts w:ascii="Arial" w:hAnsi="Arial" w:cs="Arial"/>
          <w:noProof/>
          <w:sz w:val="22"/>
          <w:szCs w:val="22"/>
        </w:rPr>
        <w:t xml:space="preserve"> the biggest in a decade and at the two year horizon </w:t>
      </w:r>
      <w:r>
        <w:rPr>
          <w:rFonts w:ascii="Arial" w:hAnsi="Arial" w:cs="Arial"/>
          <w:noProof/>
          <w:sz w:val="22"/>
          <w:szCs w:val="22"/>
        </w:rPr>
        <w:t>was</w:t>
      </w:r>
      <w:r w:rsidRPr="005A0FEE">
        <w:rPr>
          <w:rFonts w:ascii="Arial" w:hAnsi="Arial" w:cs="Arial"/>
          <w:noProof/>
          <w:sz w:val="22"/>
          <w:szCs w:val="22"/>
        </w:rPr>
        <w:t xml:space="preserve"> the biggest since February 2013. </w:t>
      </w:r>
      <w:r w:rsidRPr="00E23167">
        <w:rPr>
          <w:rFonts w:ascii="Arial" w:hAnsi="Arial" w:cs="Arial"/>
          <w:noProof/>
          <w:sz w:val="22"/>
          <w:szCs w:val="22"/>
        </w:rPr>
        <w:t xml:space="preserve">There </w:t>
      </w:r>
      <w:r>
        <w:rPr>
          <w:rFonts w:ascii="Arial" w:hAnsi="Arial" w:cs="Arial"/>
          <w:noProof/>
          <w:sz w:val="22"/>
          <w:szCs w:val="22"/>
        </w:rPr>
        <w:t xml:space="preserve">is considerable uncertainty </w:t>
      </w:r>
      <w:r w:rsidRPr="00E23167">
        <w:rPr>
          <w:rFonts w:ascii="Arial" w:hAnsi="Arial" w:cs="Arial"/>
          <w:noProof/>
          <w:sz w:val="22"/>
          <w:szCs w:val="22"/>
        </w:rPr>
        <w:t xml:space="preserve">around </w:t>
      </w:r>
      <w:r>
        <w:rPr>
          <w:rFonts w:ascii="Arial" w:hAnsi="Arial" w:cs="Arial"/>
          <w:noProof/>
          <w:sz w:val="22"/>
          <w:szCs w:val="22"/>
        </w:rPr>
        <w:t xml:space="preserve">how quickly </w:t>
      </w:r>
      <w:r w:rsidRPr="00E23167">
        <w:rPr>
          <w:rFonts w:ascii="Arial" w:hAnsi="Arial" w:cs="Arial"/>
          <w:noProof/>
          <w:sz w:val="22"/>
          <w:szCs w:val="22"/>
        </w:rPr>
        <w:t>inflation will rise in the ne</w:t>
      </w:r>
      <w:r>
        <w:rPr>
          <w:rFonts w:ascii="Arial" w:hAnsi="Arial" w:cs="Arial"/>
          <w:noProof/>
          <w:sz w:val="22"/>
          <w:szCs w:val="22"/>
        </w:rPr>
        <w:t>xt few years and</w:t>
      </w:r>
      <w:r w:rsidRPr="00E23167">
        <w:rPr>
          <w:rFonts w:ascii="Arial" w:hAnsi="Arial" w:cs="Arial"/>
          <w:noProof/>
          <w:sz w:val="22"/>
          <w:szCs w:val="22"/>
        </w:rPr>
        <w:t xml:space="preserve"> this make</w:t>
      </w:r>
      <w:r>
        <w:rPr>
          <w:rFonts w:ascii="Arial" w:hAnsi="Arial" w:cs="Arial"/>
          <w:noProof/>
          <w:sz w:val="22"/>
          <w:szCs w:val="22"/>
        </w:rPr>
        <w:t>s</w:t>
      </w:r>
      <w:r w:rsidRPr="00E23167">
        <w:rPr>
          <w:rFonts w:ascii="Arial" w:hAnsi="Arial" w:cs="Arial"/>
          <w:noProof/>
          <w:sz w:val="22"/>
          <w:szCs w:val="22"/>
        </w:rPr>
        <w:t xml:space="preserve"> it difficult </w:t>
      </w:r>
      <w:r>
        <w:rPr>
          <w:rFonts w:ascii="Arial" w:hAnsi="Arial" w:cs="Arial"/>
          <w:noProof/>
          <w:sz w:val="22"/>
          <w:szCs w:val="22"/>
        </w:rPr>
        <w:t xml:space="preserve">to forecast when </w:t>
      </w:r>
      <w:r w:rsidRPr="00E23167">
        <w:rPr>
          <w:rFonts w:ascii="Arial" w:hAnsi="Arial" w:cs="Arial"/>
          <w:noProof/>
          <w:sz w:val="22"/>
          <w:szCs w:val="22"/>
        </w:rPr>
        <w:t xml:space="preserve">the </w:t>
      </w:r>
      <w:r>
        <w:rPr>
          <w:rFonts w:ascii="Arial" w:hAnsi="Arial" w:cs="Arial"/>
          <w:noProof/>
          <w:sz w:val="22"/>
          <w:szCs w:val="22"/>
        </w:rPr>
        <w:t>MPC will decide to make a start on increasing Bank Rate.</w:t>
      </w:r>
    </w:p>
    <w:p w:rsidR="00D8108B" w:rsidRDefault="00D8108B" w:rsidP="00D8108B">
      <w:pPr>
        <w:pStyle w:val="BodyText"/>
        <w:numPr>
          <w:ilvl w:val="12"/>
          <w:numId w:val="0"/>
        </w:numPr>
        <w:jc w:val="both"/>
        <w:rPr>
          <w:rFonts w:ascii="Arial" w:hAnsi="Arial" w:cs="Arial"/>
          <w:noProof/>
          <w:sz w:val="22"/>
          <w:szCs w:val="22"/>
        </w:rPr>
      </w:pPr>
    </w:p>
    <w:p w:rsidR="00D8108B" w:rsidRDefault="00D8108B" w:rsidP="00D8108B">
      <w:pPr>
        <w:pStyle w:val="BodyText"/>
        <w:numPr>
          <w:ilvl w:val="12"/>
          <w:numId w:val="0"/>
        </w:numPr>
        <w:jc w:val="both"/>
        <w:rPr>
          <w:rFonts w:ascii="Arial" w:hAnsi="Arial" w:cs="Arial"/>
          <w:noProof/>
          <w:sz w:val="22"/>
          <w:szCs w:val="22"/>
        </w:rPr>
      </w:pPr>
      <w:r w:rsidRPr="00E23167">
        <w:rPr>
          <w:rFonts w:ascii="Arial" w:hAnsi="Arial" w:cs="Arial"/>
          <w:b/>
          <w:noProof/>
          <w:sz w:val="22"/>
          <w:szCs w:val="22"/>
        </w:rPr>
        <w:t>USA.</w:t>
      </w:r>
      <w:r w:rsidRPr="00E23167">
        <w:rPr>
          <w:rFonts w:ascii="Arial" w:hAnsi="Arial" w:cs="Arial"/>
          <w:noProof/>
          <w:sz w:val="22"/>
          <w:szCs w:val="22"/>
        </w:rPr>
        <w:t xml:space="preserve"> The American economy made a strong comeback after a weak first quarter’s growth at +0.6% (annualised), to grow by no less than 3.9% in quarter 2 of 2015</w:t>
      </w:r>
      <w:r>
        <w:rPr>
          <w:rFonts w:ascii="Arial" w:hAnsi="Arial" w:cs="Arial"/>
          <w:noProof/>
          <w:sz w:val="22"/>
          <w:szCs w:val="22"/>
        </w:rPr>
        <w:t>, but then weakened again to 2.1% in quarter 3</w:t>
      </w:r>
      <w:r w:rsidRPr="00E23167">
        <w:rPr>
          <w:rFonts w:ascii="Arial" w:hAnsi="Arial" w:cs="Arial"/>
          <w:noProof/>
          <w:sz w:val="22"/>
          <w:szCs w:val="22"/>
        </w:rPr>
        <w:t xml:space="preserve">. </w:t>
      </w:r>
      <w:r>
        <w:rPr>
          <w:rFonts w:ascii="Arial" w:hAnsi="Arial" w:cs="Arial"/>
          <w:noProof/>
          <w:sz w:val="22"/>
          <w:szCs w:val="22"/>
        </w:rPr>
        <w:t>T</w:t>
      </w:r>
      <w:r w:rsidRPr="00E23167">
        <w:rPr>
          <w:rFonts w:ascii="Arial" w:hAnsi="Arial" w:cs="Arial"/>
          <w:noProof/>
          <w:sz w:val="22"/>
          <w:szCs w:val="22"/>
        </w:rPr>
        <w:t xml:space="preserve">he downbeat news </w:t>
      </w:r>
      <w:r>
        <w:rPr>
          <w:rFonts w:ascii="Arial" w:hAnsi="Arial" w:cs="Arial"/>
          <w:noProof/>
          <w:sz w:val="22"/>
          <w:szCs w:val="22"/>
        </w:rPr>
        <w:t xml:space="preserve">in late August and in September </w:t>
      </w:r>
      <w:r w:rsidRPr="00E23167">
        <w:rPr>
          <w:rFonts w:ascii="Arial" w:hAnsi="Arial" w:cs="Arial"/>
          <w:noProof/>
          <w:sz w:val="22"/>
          <w:szCs w:val="22"/>
        </w:rPr>
        <w:t xml:space="preserve">about Chinese and Japanese growth and the knock on impact on emerging countries that are major suppliers of commodities, was cited as the main reason for the Fed’s decision </w:t>
      </w:r>
      <w:r>
        <w:rPr>
          <w:rFonts w:ascii="Arial" w:hAnsi="Arial" w:cs="Arial"/>
          <w:noProof/>
          <w:sz w:val="22"/>
          <w:szCs w:val="22"/>
        </w:rPr>
        <w:t xml:space="preserve">at its September meeting </w:t>
      </w:r>
      <w:r w:rsidRPr="00E23167">
        <w:rPr>
          <w:rFonts w:ascii="Arial" w:hAnsi="Arial" w:cs="Arial"/>
          <w:noProof/>
          <w:sz w:val="22"/>
          <w:szCs w:val="22"/>
        </w:rPr>
        <w:t xml:space="preserve">to pull back from </w:t>
      </w:r>
      <w:r>
        <w:rPr>
          <w:rFonts w:ascii="Arial" w:hAnsi="Arial" w:cs="Arial"/>
          <w:noProof/>
          <w:sz w:val="22"/>
          <w:szCs w:val="22"/>
        </w:rPr>
        <w:t>a first rate increase</w:t>
      </w:r>
      <w:r w:rsidRPr="00E23167">
        <w:rPr>
          <w:rFonts w:ascii="Arial" w:hAnsi="Arial" w:cs="Arial"/>
          <w:noProof/>
          <w:sz w:val="22"/>
          <w:szCs w:val="22"/>
        </w:rPr>
        <w:t xml:space="preserve">.  </w:t>
      </w:r>
      <w:r>
        <w:rPr>
          <w:rFonts w:ascii="Arial" w:hAnsi="Arial" w:cs="Arial"/>
          <w:noProof/>
          <w:sz w:val="22"/>
          <w:szCs w:val="22"/>
        </w:rPr>
        <w:t>However, t</w:t>
      </w:r>
      <w:r w:rsidRPr="00E23167">
        <w:rPr>
          <w:rFonts w:ascii="Arial" w:hAnsi="Arial" w:cs="Arial"/>
          <w:noProof/>
          <w:sz w:val="22"/>
          <w:szCs w:val="22"/>
        </w:rPr>
        <w:t>he nonfarm payrolls figure</w:t>
      </w:r>
      <w:r>
        <w:rPr>
          <w:rFonts w:ascii="Arial" w:hAnsi="Arial" w:cs="Arial"/>
          <w:noProof/>
          <w:sz w:val="22"/>
          <w:szCs w:val="22"/>
        </w:rPr>
        <w:t xml:space="preserve"> </w:t>
      </w:r>
      <w:r w:rsidRPr="00E23167">
        <w:rPr>
          <w:rFonts w:ascii="Arial" w:hAnsi="Arial" w:cs="Arial"/>
          <w:noProof/>
          <w:sz w:val="22"/>
          <w:szCs w:val="22"/>
        </w:rPr>
        <w:t xml:space="preserve">for </w:t>
      </w:r>
      <w:r>
        <w:rPr>
          <w:rFonts w:ascii="Arial" w:hAnsi="Arial" w:cs="Arial"/>
          <w:noProof/>
          <w:sz w:val="22"/>
          <w:szCs w:val="22"/>
        </w:rPr>
        <w:t>growth in employment in October was very strong and, together with a likely perception by the Fed. that concerns on the international scene have subsided, has now firmly opened up the possibility of a first rate rise in December</w:t>
      </w:r>
      <w:r w:rsidRPr="00E23167">
        <w:rPr>
          <w:rFonts w:ascii="Arial" w:hAnsi="Arial" w:cs="Arial"/>
          <w:noProof/>
          <w:sz w:val="22"/>
          <w:szCs w:val="22"/>
        </w:rPr>
        <w:t xml:space="preserve">.  </w:t>
      </w:r>
    </w:p>
    <w:p w:rsidR="00D8108B" w:rsidRDefault="00D8108B" w:rsidP="00D8108B">
      <w:pPr>
        <w:pStyle w:val="BodyText"/>
        <w:numPr>
          <w:ilvl w:val="12"/>
          <w:numId w:val="0"/>
        </w:numPr>
        <w:jc w:val="both"/>
        <w:rPr>
          <w:rFonts w:ascii="Arial" w:hAnsi="Arial" w:cs="Arial"/>
          <w:noProof/>
          <w:sz w:val="22"/>
          <w:szCs w:val="22"/>
        </w:rPr>
      </w:pPr>
    </w:p>
    <w:p w:rsidR="00D8108B" w:rsidRPr="00E23167" w:rsidRDefault="00D8108B" w:rsidP="00D8108B">
      <w:pPr>
        <w:pStyle w:val="BodyText"/>
        <w:numPr>
          <w:ilvl w:val="12"/>
          <w:numId w:val="0"/>
        </w:numPr>
        <w:jc w:val="both"/>
        <w:rPr>
          <w:rFonts w:ascii="Arial" w:hAnsi="Arial" w:cs="Arial"/>
          <w:noProof/>
          <w:sz w:val="22"/>
          <w:szCs w:val="22"/>
        </w:rPr>
      </w:pPr>
      <w:r w:rsidRPr="00E23167">
        <w:rPr>
          <w:rFonts w:ascii="Arial" w:hAnsi="Arial" w:cs="Arial"/>
          <w:b/>
          <w:noProof/>
          <w:sz w:val="22"/>
          <w:szCs w:val="22"/>
        </w:rPr>
        <w:t>EZ.</w:t>
      </w:r>
      <w:r w:rsidRPr="00E23167">
        <w:rPr>
          <w:rFonts w:ascii="Arial" w:hAnsi="Arial" w:cs="Arial"/>
          <w:noProof/>
          <w:sz w:val="22"/>
          <w:szCs w:val="22"/>
        </w:rPr>
        <w:t xml:space="preserve"> In the Eurozone, the ECB fired its big bazooka in January 2015 in unleashing a massive €1.1 trillion programme of quantitative easing to buy up high credit quality government and other debt of selected EZ countries. This programme of €60bn of monthly purchases started in March 2015 and it is intended to run initially to September 2016.  This appears to have had a positive effect in helping a recovery in consumer and business confidence and a start to a significant improvement in economic growth.  GDP growth rose to 0.5% in quarter 1 2015 (1.0% y/y) but came in at +0.4% (+1.5% y/y) in quarter 2 and </w:t>
      </w:r>
      <w:r>
        <w:rPr>
          <w:rFonts w:ascii="Arial" w:hAnsi="Arial" w:cs="Arial"/>
          <w:noProof/>
          <w:sz w:val="22"/>
          <w:szCs w:val="22"/>
        </w:rPr>
        <w:t xml:space="preserve">+0.3% in </w:t>
      </w:r>
      <w:r w:rsidRPr="00E23167">
        <w:rPr>
          <w:rFonts w:ascii="Arial" w:hAnsi="Arial" w:cs="Arial"/>
          <w:noProof/>
          <w:sz w:val="22"/>
          <w:szCs w:val="22"/>
        </w:rPr>
        <w:t xml:space="preserve">quarter 3.  However, the recent downbeat Chinese and Japanese news has raised questions as to whether the ECB will need to boost its QE programme if it is to succeed in significantly improving growth in the EZ and getting inflation up from the current level of around zero to its target of 2%.    </w:t>
      </w:r>
    </w:p>
    <w:p w:rsidR="00D8108B" w:rsidRPr="00E23167" w:rsidRDefault="00D8108B" w:rsidP="00D8108B">
      <w:pPr>
        <w:pStyle w:val="BodyText"/>
        <w:numPr>
          <w:ilvl w:val="12"/>
          <w:numId w:val="0"/>
        </w:numPr>
        <w:jc w:val="both"/>
        <w:rPr>
          <w:rFonts w:ascii="Arial" w:hAnsi="Arial" w:cs="Arial"/>
          <w:noProof/>
          <w:sz w:val="22"/>
          <w:szCs w:val="22"/>
        </w:rPr>
      </w:pPr>
    </w:p>
    <w:p w:rsidR="00D8108B" w:rsidRPr="009D4DC9" w:rsidRDefault="00D8108B" w:rsidP="00D8108B">
      <w:pPr>
        <w:jc w:val="both"/>
        <w:rPr>
          <w:rFonts w:cs="Arial"/>
          <w:color w:val="0D0D0D" w:themeColor="text1" w:themeTint="F2"/>
          <w:sz w:val="22"/>
          <w:szCs w:val="22"/>
        </w:rPr>
      </w:pPr>
      <w:r w:rsidRPr="009D4DC9">
        <w:rPr>
          <w:rFonts w:cs="Arial"/>
          <w:color w:val="0D0D0D" w:themeColor="text1" w:themeTint="F2"/>
          <w:sz w:val="22"/>
          <w:szCs w:val="22"/>
        </w:rPr>
        <w:t xml:space="preserve">Greece.  During July, Greece finally capitulated to EU demands to implement a major programme of austerity and is now cooperating fully with EU demands. An €86bn third bailout package has since been agreed though it did nothing to address the unsupportable size of total debt compared to GDP.  However, huge damage has been done to the Greek banking system and economy by the resistance of the </w:t>
      </w:r>
      <w:proofErr w:type="spellStart"/>
      <w:r w:rsidRPr="009D4DC9">
        <w:rPr>
          <w:rFonts w:cs="Arial"/>
          <w:color w:val="0D0D0D" w:themeColor="text1" w:themeTint="F2"/>
          <w:sz w:val="22"/>
          <w:szCs w:val="22"/>
        </w:rPr>
        <w:t>Syriza</w:t>
      </w:r>
      <w:proofErr w:type="spellEnd"/>
      <w:r w:rsidRPr="009D4DC9">
        <w:rPr>
          <w:rFonts w:cs="Arial"/>
          <w:color w:val="0D0D0D" w:themeColor="text1" w:themeTint="F2"/>
          <w:sz w:val="22"/>
          <w:szCs w:val="22"/>
        </w:rPr>
        <w:t xml:space="preserve"> Government, elected in January, to EU demands. The surprise general election in September gave the </w:t>
      </w:r>
      <w:proofErr w:type="spellStart"/>
      <w:r w:rsidRPr="009D4DC9">
        <w:rPr>
          <w:rFonts w:cs="Arial"/>
          <w:color w:val="0D0D0D" w:themeColor="text1" w:themeTint="F2"/>
          <w:sz w:val="22"/>
          <w:szCs w:val="22"/>
        </w:rPr>
        <w:t>Syriza</w:t>
      </w:r>
      <w:proofErr w:type="spellEnd"/>
      <w:r w:rsidRPr="009D4DC9">
        <w:rPr>
          <w:rFonts w:cs="Arial"/>
          <w:color w:val="0D0D0D" w:themeColor="text1" w:themeTint="F2"/>
          <w:sz w:val="22"/>
          <w:szCs w:val="22"/>
        </w:rPr>
        <w:t xml:space="preserve"> government a mandate to stay in power to implement austerity measures. </w:t>
      </w:r>
      <w:r w:rsidRPr="009D4DC9">
        <w:rPr>
          <w:rFonts w:cs="Arial"/>
          <w:color w:val="0D0D0D" w:themeColor="text1" w:themeTint="F2"/>
          <w:sz w:val="22"/>
          <w:szCs w:val="22"/>
        </w:rPr>
        <w:lastRenderedPageBreak/>
        <w:t>However, there are major doubts as to whether the size of cuts and degree of reforms required can be fully implemented and so Greek exit from the euro may only have been delayed by this latest bailout.</w:t>
      </w:r>
    </w:p>
    <w:p w:rsidR="00D8108B" w:rsidRPr="00EF0EE6" w:rsidRDefault="00D8108B" w:rsidP="00D8108B">
      <w:pPr>
        <w:pStyle w:val="BodyText"/>
        <w:numPr>
          <w:ilvl w:val="12"/>
          <w:numId w:val="0"/>
        </w:numPr>
        <w:jc w:val="both"/>
        <w:rPr>
          <w:rFonts w:ascii="Arial" w:hAnsi="Arial" w:cs="Arial"/>
          <w:noProof/>
          <w:sz w:val="22"/>
          <w:szCs w:val="22"/>
        </w:rPr>
      </w:pPr>
    </w:p>
    <w:p w:rsidR="00D8108B" w:rsidRPr="00E23167" w:rsidRDefault="00D8108B" w:rsidP="00D8108B">
      <w:pPr>
        <w:pStyle w:val="ListParagraph"/>
        <w:numPr>
          <w:ilvl w:val="0"/>
          <w:numId w:val="26"/>
        </w:numPr>
        <w:tabs>
          <w:tab w:val="clear" w:pos="1080"/>
          <w:tab w:val="num" w:pos="900"/>
        </w:tabs>
        <w:spacing w:after="210" w:line="253" w:lineRule="atLeast"/>
        <w:ind w:left="900"/>
        <w:contextualSpacing w:val="0"/>
        <w:jc w:val="both"/>
        <w:rPr>
          <w:rFonts w:ascii="Arial" w:hAnsi="Arial" w:cs="Arial"/>
          <w:noProof/>
          <w:color w:val="0D0D0D" w:themeColor="text1" w:themeTint="F2"/>
          <w:spacing w:val="-5"/>
        </w:rPr>
      </w:pPr>
      <w:r w:rsidRPr="00E23167">
        <w:rPr>
          <w:rFonts w:ascii="Arial" w:hAnsi="Arial" w:cs="Arial"/>
          <w:noProof/>
          <w:color w:val="0D0D0D" w:themeColor="text1" w:themeTint="F2"/>
          <w:spacing w:val="-5"/>
        </w:rPr>
        <w:t>Investment returns are likely to remain relatively low during 2016/17 and beyond;</w:t>
      </w:r>
    </w:p>
    <w:p w:rsidR="00D8108B" w:rsidRPr="00E23167" w:rsidRDefault="00D8108B" w:rsidP="00D8108B">
      <w:pPr>
        <w:pStyle w:val="ListParagraph"/>
        <w:numPr>
          <w:ilvl w:val="0"/>
          <w:numId w:val="26"/>
        </w:numPr>
        <w:tabs>
          <w:tab w:val="clear" w:pos="1080"/>
          <w:tab w:val="num" w:pos="900"/>
        </w:tabs>
        <w:spacing w:after="210" w:line="253" w:lineRule="atLeast"/>
        <w:ind w:left="900"/>
        <w:contextualSpacing w:val="0"/>
        <w:jc w:val="both"/>
        <w:rPr>
          <w:rFonts w:ascii="Arial" w:hAnsi="Arial" w:cs="Arial"/>
          <w:noProof/>
          <w:color w:val="0D0D0D" w:themeColor="text1" w:themeTint="F2"/>
          <w:spacing w:val="-5"/>
        </w:rPr>
      </w:pPr>
      <w:r w:rsidRPr="00E23167">
        <w:rPr>
          <w:rFonts w:ascii="Arial" w:hAnsi="Arial" w:cs="Arial"/>
          <w:noProof/>
          <w:color w:val="0D0D0D" w:themeColor="text1" w:themeTint="F2"/>
          <w:spacing w:val="-5"/>
        </w:rPr>
        <w:t>Borrowing interest rates have been highly volatile during 2015 as alternating bouts of good and bad news have promoted optimism, and then pessimism, in financial markets.  Gilt yields have continued to remain at historically phenominally low levels during 2015. The policy of avoiding new borrowing by running down spare cash balances, has served well over the last few years.  However, this needs to be carefully reviewed to avoid incurring higher borrowing costs in later times, when authorities will not be able to avoid new borrowing to finance new capital expenditure and/or to refinance maturing debt;</w:t>
      </w:r>
    </w:p>
    <w:p w:rsidR="00D8108B" w:rsidRPr="0048551C" w:rsidRDefault="00D8108B" w:rsidP="00D8108B">
      <w:pPr>
        <w:pStyle w:val="ListParagraph"/>
        <w:numPr>
          <w:ilvl w:val="0"/>
          <w:numId w:val="26"/>
        </w:numPr>
        <w:tabs>
          <w:tab w:val="clear" w:pos="1080"/>
          <w:tab w:val="num" w:pos="900"/>
        </w:tabs>
        <w:spacing w:after="210" w:line="253" w:lineRule="atLeast"/>
        <w:ind w:left="900"/>
        <w:contextualSpacing w:val="0"/>
        <w:jc w:val="both"/>
        <w:rPr>
          <w:rFonts w:ascii="Arial" w:hAnsi="Arial" w:cs="Arial"/>
          <w:noProof/>
          <w:spacing w:val="-5"/>
        </w:rPr>
      </w:pPr>
      <w:r w:rsidRPr="00086A0F">
        <w:rPr>
          <w:rFonts w:ascii="Arial" w:hAnsi="Arial" w:cs="Arial"/>
          <w:noProof/>
          <w:spacing w:val="-5"/>
        </w:rPr>
        <w:t>There will remain a cost of carry to any new borrowing which causes an increase in investments as this will incur a revenue loss between borrowing costs and investment returns</w:t>
      </w:r>
      <w:r w:rsidRPr="0048551C">
        <w:rPr>
          <w:rFonts w:ascii="Arial" w:hAnsi="Arial" w:cs="Arial"/>
          <w:noProof/>
          <w:spacing w:val="-5"/>
        </w:rPr>
        <w:t>.</w:t>
      </w:r>
    </w:p>
    <w:p w:rsidR="00D6535E" w:rsidRPr="00B928B8" w:rsidRDefault="00D6535E" w:rsidP="00D6535E">
      <w:pPr>
        <w:numPr>
          <w:ilvl w:val="12"/>
          <w:numId w:val="0"/>
        </w:numPr>
        <w:spacing w:after="90"/>
        <w:jc w:val="both"/>
        <w:rPr>
          <w:rFonts w:eastAsia="MS Mincho" w:cs="Arial"/>
          <w:b/>
          <w:bCs/>
          <w:color w:val="000000"/>
          <w:sz w:val="22"/>
          <w:szCs w:val="22"/>
          <w:lang w:eastAsia="ja-JP"/>
        </w:rPr>
      </w:pPr>
    </w:p>
    <w:p w:rsidR="00D6535E" w:rsidRPr="00B928B8" w:rsidRDefault="00D6535E" w:rsidP="00D6535E">
      <w:pPr>
        <w:numPr>
          <w:ilvl w:val="12"/>
          <w:numId w:val="0"/>
        </w:numPr>
        <w:spacing w:after="90"/>
        <w:jc w:val="both"/>
        <w:rPr>
          <w:rFonts w:eastAsia="MS Mincho" w:cs="Arial"/>
          <w:b/>
          <w:bCs/>
          <w:color w:val="000000"/>
          <w:sz w:val="22"/>
          <w:szCs w:val="22"/>
          <w:lang w:eastAsia="ja-JP"/>
        </w:rPr>
      </w:pPr>
    </w:p>
    <w:p w:rsidR="00D6535E" w:rsidRPr="00B928B8" w:rsidRDefault="00D6535E" w:rsidP="00D6535E">
      <w:pPr>
        <w:numPr>
          <w:ilvl w:val="12"/>
          <w:numId w:val="0"/>
        </w:numPr>
        <w:spacing w:after="90"/>
        <w:jc w:val="both"/>
        <w:rPr>
          <w:rFonts w:eastAsia="MS Mincho" w:cs="Arial"/>
          <w:b/>
          <w:color w:val="0D0D0D" w:themeColor="text1" w:themeTint="F2"/>
          <w:sz w:val="22"/>
          <w:szCs w:val="22"/>
          <w:lang w:eastAsia="ja-JP"/>
        </w:rPr>
      </w:pPr>
    </w:p>
    <w:p w:rsidR="00D6535E" w:rsidRPr="00F3704E" w:rsidRDefault="00D6535E" w:rsidP="00D6535E">
      <w:pPr>
        <w:rPr>
          <w:rFonts w:ascii="Arial" w:hAnsi="Arial" w:cs="Arial"/>
          <w:b/>
          <w:noProof/>
          <w:color w:val="4F81BD" w:themeColor="accent1"/>
        </w:rPr>
      </w:pPr>
      <w:r w:rsidRPr="00F3704E">
        <w:rPr>
          <w:rFonts w:ascii="Arial" w:hAnsi="Arial" w:cs="Arial"/>
          <w:b/>
          <w:noProof/>
          <w:color w:val="4F81BD" w:themeColor="accent1"/>
        </w:rPr>
        <w:br w:type="page"/>
      </w:r>
    </w:p>
    <w:p w:rsidR="00D6535E" w:rsidRPr="00881C1B" w:rsidRDefault="00D6535E" w:rsidP="00D6535E">
      <w:pPr>
        <w:numPr>
          <w:ilvl w:val="12"/>
          <w:numId w:val="0"/>
        </w:numPr>
        <w:tabs>
          <w:tab w:val="left" w:pos="360"/>
        </w:tabs>
        <w:jc w:val="right"/>
        <w:rPr>
          <w:rFonts w:ascii="Arial" w:hAnsi="Arial" w:cs="Arial"/>
          <w:b/>
          <w:noProof/>
        </w:rPr>
      </w:pPr>
      <w:r w:rsidRPr="00881C1B">
        <w:rPr>
          <w:rFonts w:ascii="Arial" w:hAnsi="Arial" w:cs="Arial"/>
          <w:b/>
          <w:noProof/>
        </w:rPr>
        <w:lastRenderedPageBreak/>
        <w:t>Appendix 3</w:t>
      </w:r>
    </w:p>
    <w:p w:rsidR="00D6535E" w:rsidRPr="00881C1B" w:rsidRDefault="00D6535E" w:rsidP="00D6535E">
      <w:pPr>
        <w:numPr>
          <w:ilvl w:val="12"/>
          <w:numId w:val="0"/>
        </w:numPr>
        <w:tabs>
          <w:tab w:val="left" w:pos="360"/>
        </w:tabs>
        <w:jc w:val="both"/>
        <w:rPr>
          <w:rFonts w:ascii="Arial" w:hAnsi="Arial" w:cs="Arial"/>
          <w:b/>
          <w:noProof/>
        </w:rPr>
      </w:pPr>
      <w:r w:rsidRPr="00881C1B">
        <w:rPr>
          <w:rFonts w:ascii="Arial" w:hAnsi="Arial" w:cs="Arial"/>
          <w:b/>
          <w:noProof/>
        </w:rPr>
        <w:t>Treasury Management Practice – Credit and Counterparty Risk</w:t>
      </w:r>
    </w:p>
    <w:p w:rsidR="00D6535E" w:rsidRPr="00881C1B" w:rsidRDefault="00D6535E" w:rsidP="00D6535E">
      <w:pPr>
        <w:numPr>
          <w:ilvl w:val="12"/>
          <w:numId w:val="0"/>
        </w:numPr>
        <w:tabs>
          <w:tab w:val="left" w:pos="360"/>
        </w:tabs>
        <w:jc w:val="both"/>
        <w:rPr>
          <w:rFonts w:ascii="Arial" w:hAnsi="Arial" w:cs="Arial"/>
          <w:b/>
          <w:noProof/>
        </w:rPr>
      </w:pPr>
    </w:p>
    <w:p w:rsidR="00D6535E" w:rsidRDefault="00B54304" w:rsidP="00D6535E">
      <w:pPr>
        <w:numPr>
          <w:ilvl w:val="12"/>
          <w:numId w:val="0"/>
        </w:numPr>
        <w:tabs>
          <w:tab w:val="left" w:pos="360"/>
        </w:tabs>
        <w:jc w:val="both"/>
        <w:rPr>
          <w:rFonts w:ascii="Arial" w:hAnsi="Arial" w:cs="Arial"/>
          <w:noProof/>
          <w:color w:val="000000" w:themeColor="text1"/>
        </w:rPr>
      </w:pPr>
      <w:r>
        <w:rPr>
          <w:rFonts w:ascii="Arial" w:hAnsi="Arial" w:cs="Arial"/>
          <w:b/>
          <w:noProof/>
          <w:color w:val="000000" w:themeColor="text1"/>
        </w:rPr>
        <w:t>Specified Investments</w:t>
      </w:r>
      <w:r w:rsidR="00D6535E" w:rsidRPr="00471B24">
        <w:rPr>
          <w:rFonts w:ascii="Arial" w:hAnsi="Arial" w:cs="Arial"/>
          <w:b/>
          <w:noProof/>
          <w:color w:val="000000" w:themeColor="text1"/>
        </w:rPr>
        <w:t>:</w:t>
      </w:r>
      <w:r w:rsidR="00D6535E">
        <w:rPr>
          <w:rFonts w:ascii="Arial" w:hAnsi="Arial" w:cs="Arial"/>
          <w:b/>
          <w:noProof/>
          <w:color w:val="000000" w:themeColor="text1"/>
        </w:rPr>
        <w:t xml:space="preserve"> </w:t>
      </w:r>
      <w:r w:rsidR="00D6535E" w:rsidRPr="00471B24">
        <w:rPr>
          <w:rFonts w:ascii="Arial" w:hAnsi="Arial" w:cs="Arial"/>
          <w:noProof/>
          <w:color w:val="000000" w:themeColor="text1"/>
        </w:rPr>
        <w:t xml:space="preserve"> All such investments will be sterling denominated, with </w:t>
      </w:r>
      <w:r w:rsidR="00D6535E" w:rsidRPr="00471B24">
        <w:rPr>
          <w:rFonts w:ascii="Arial" w:hAnsi="Arial" w:cs="Arial"/>
          <w:b/>
          <w:noProof/>
          <w:color w:val="000000" w:themeColor="text1"/>
        </w:rPr>
        <w:t>maturities up to maximum of 1 year</w:t>
      </w:r>
      <w:r w:rsidR="00D6535E" w:rsidRPr="00471B24">
        <w:rPr>
          <w:rFonts w:ascii="Arial" w:hAnsi="Arial" w:cs="Arial"/>
          <w:noProof/>
          <w:color w:val="000000" w:themeColor="text1"/>
        </w:rPr>
        <w:t>, meeting the minimum ‘high’ quality criteria where applicable.</w:t>
      </w:r>
    </w:p>
    <w:p w:rsidR="00D6535E" w:rsidRDefault="00D6535E" w:rsidP="00D6535E">
      <w:pPr>
        <w:numPr>
          <w:ilvl w:val="12"/>
          <w:numId w:val="0"/>
        </w:numPr>
        <w:tabs>
          <w:tab w:val="left" w:pos="360"/>
        </w:tabs>
        <w:jc w:val="both"/>
        <w:rPr>
          <w:rFonts w:ascii="Arial" w:hAnsi="Arial" w:cs="Arial"/>
          <w:noProof/>
          <w:color w:val="000000" w:themeColor="text1"/>
        </w:rPr>
      </w:pPr>
    </w:p>
    <w:p w:rsidR="00D6535E" w:rsidRDefault="00D6535E" w:rsidP="00D6535E">
      <w:pPr>
        <w:numPr>
          <w:ilvl w:val="12"/>
          <w:numId w:val="0"/>
        </w:numPr>
        <w:tabs>
          <w:tab w:val="left" w:pos="360"/>
        </w:tabs>
        <w:jc w:val="both"/>
        <w:rPr>
          <w:rFonts w:ascii="Arial" w:hAnsi="Arial" w:cs="Arial"/>
          <w:noProof/>
          <w:color w:val="000000" w:themeColor="text1"/>
        </w:rPr>
      </w:pPr>
      <w:r>
        <w:rPr>
          <w:rFonts w:ascii="Arial" w:hAnsi="Arial" w:cs="Arial"/>
          <w:noProof/>
          <w:color w:val="000000" w:themeColor="text1"/>
        </w:rPr>
        <w:t>A variety of investment instruments will be used, subject to the credit quality of the institution, and depending on the type of investment made it will fall into one of the following categories:</w:t>
      </w:r>
    </w:p>
    <w:p w:rsidR="00D6535E" w:rsidRDefault="00D6535E" w:rsidP="00D6535E">
      <w:pPr>
        <w:numPr>
          <w:ilvl w:val="12"/>
          <w:numId w:val="0"/>
        </w:numPr>
        <w:tabs>
          <w:tab w:val="left" w:pos="360"/>
        </w:tabs>
        <w:jc w:val="both"/>
        <w:rPr>
          <w:rFonts w:ascii="Arial" w:hAnsi="Arial" w:cs="Arial"/>
          <w:noProof/>
          <w:color w:val="000000" w:themeColor="text1"/>
        </w:rPr>
      </w:pPr>
    </w:p>
    <w:tbl>
      <w:tblPr>
        <w:tblStyle w:val="TableGrid"/>
        <w:tblW w:w="0" w:type="auto"/>
        <w:tblInd w:w="108" w:type="dxa"/>
        <w:tblLook w:val="04A0" w:firstRow="1" w:lastRow="0" w:firstColumn="1" w:lastColumn="0" w:noHBand="0" w:noVBand="1"/>
      </w:tblPr>
      <w:tblGrid>
        <w:gridCol w:w="2965"/>
        <w:gridCol w:w="1855"/>
        <w:gridCol w:w="1559"/>
        <w:gridCol w:w="2755"/>
      </w:tblGrid>
      <w:tr w:rsidR="00D6535E" w:rsidTr="00CD4006">
        <w:tc>
          <w:tcPr>
            <w:tcW w:w="2965" w:type="dxa"/>
            <w:shd w:val="clear" w:color="auto" w:fill="D9D9D9" w:themeFill="background1" w:themeFillShade="D9"/>
          </w:tcPr>
          <w:p w:rsidR="00D6535E" w:rsidRPr="007B28B0" w:rsidRDefault="00D6535E" w:rsidP="00CD4006">
            <w:pPr>
              <w:numPr>
                <w:ilvl w:val="12"/>
                <w:numId w:val="0"/>
              </w:numPr>
              <w:tabs>
                <w:tab w:val="left" w:pos="360"/>
              </w:tabs>
              <w:jc w:val="both"/>
              <w:rPr>
                <w:rFonts w:ascii="Arial" w:hAnsi="Arial" w:cs="Arial"/>
                <w:noProof/>
                <w:color w:val="000000" w:themeColor="text1"/>
              </w:rPr>
            </w:pPr>
          </w:p>
        </w:tc>
        <w:tc>
          <w:tcPr>
            <w:tcW w:w="1855" w:type="dxa"/>
            <w:shd w:val="clear" w:color="auto" w:fill="D9D9D9" w:themeFill="background1" w:themeFillShade="D9"/>
            <w:vAlign w:val="center"/>
          </w:tcPr>
          <w:p w:rsidR="00D6535E" w:rsidRPr="007B28B0" w:rsidRDefault="00D6535E" w:rsidP="00CD4006">
            <w:pPr>
              <w:numPr>
                <w:ilvl w:val="12"/>
                <w:numId w:val="0"/>
              </w:numPr>
              <w:tabs>
                <w:tab w:val="left" w:pos="360"/>
              </w:tabs>
              <w:rPr>
                <w:rFonts w:ascii="Arial" w:hAnsi="Arial" w:cs="Arial"/>
                <w:noProof/>
                <w:color w:val="000000" w:themeColor="text1"/>
              </w:rPr>
            </w:pPr>
            <w:r w:rsidRPr="007B28B0">
              <w:rPr>
                <w:rFonts w:ascii="Arial" w:hAnsi="Arial" w:cs="Arial"/>
                <w:color w:val="000000" w:themeColor="text1"/>
                <w:sz w:val="22"/>
                <w:szCs w:val="22"/>
              </w:rPr>
              <w:t>Minimum Credit Criteria</w:t>
            </w:r>
          </w:p>
        </w:tc>
        <w:tc>
          <w:tcPr>
            <w:tcW w:w="1559" w:type="dxa"/>
            <w:shd w:val="clear" w:color="auto" w:fill="D9D9D9" w:themeFill="background1" w:themeFillShade="D9"/>
            <w:vAlign w:val="center"/>
          </w:tcPr>
          <w:p w:rsidR="00D6535E" w:rsidRPr="007B28B0" w:rsidRDefault="00D6535E" w:rsidP="00CD4006">
            <w:pPr>
              <w:numPr>
                <w:ilvl w:val="12"/>
                <w:numId w:val="0"/>
              </w:numPr>
              <w:tabs>
                <w:tab w:val="left" w:pos="360"/>
              </w:tabs>
              <w:rPr>
                <w:rFonts w:ascii="Arial" w:hAnsi="Arial" w:cs="Arial"/>
                <w:noProof/>
                <w:color w:val="000000" w:themeColor="text1"/>
              </w:rPr>
            </w:pPr>
            <w:r w:rsidRPr="007B28B0">
              <w:rPr>
                <w:rFonts w:ascii="Arial" w:hAnsi="Arial" w:cs="Arial"/>
                <w:color w:val="000000" w:themeColor="text1"/>
                <w:sz w:val="22"/>
                <w:szCs w:val="22"/>
              </w:rPr>
              <w:t>Maximum of total investments</w:t>
            </w:r>
          </w:p>
        </w:tc>
        <w:tc>
          <w:tcPr>
            <w:tcW w:w="2755" w:type="dxa"/>
            <w:shd w:val="clear" w:color="auto" w:fill="D9D9D9" w:themeFill="background1" w:themeFillShade="D9"/>
            <w:vAlign w:val="center"/>
          </w:tcPr>
          <w:p w:rsidR="00D6535E" w:rsidRPr="007B28B0" w:rsidRDefault="00D6535E" w:rsidP="00CD4006">
            <w:pPr>
              <w:numPr>
                <w:ilvl w:val="12"/>
                <w:numId w:val="0"/>
              </w:numPr>
              <w:tabs>
                <w:tab w:val="left" w:pos="360"/>
              </w:tabs>
              <w:rPr>
                <w:rFonts w:ascii="Arial" w:hAnsi="Arial" w:cs="Arial"/>
                <w:noProof/>
                <w:color w:val="000000" w:themeColor="text1"/>
              </w:rPr>
            </w:pPr>
            <w:r w:rsidRPr="007B28B0">
              <w:rPr>
                <w:rFonts w:ascii="Arial" w:hAnsi="Arial" w:cs="Arial"/>
                <w:color w:val="000000" w:themeColor="text1"/>
                <w:sz w:val="22"/>
                <w:szCs w:val="22"/>
              </w:rPr>
              <w:t>Max. maturity period</w:t>
            </w:r>
          </w:p>
        </w:tc>
      </w:tr>
      <w:tr w:rsidR="00D6535E" w:rsidTr="00CD4006">
        <w:trPr>
          <w:trHeight w:val="701"/>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Debt Management Agency Deposit Facility</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spacing w:val="-5"/>
              </w:rPr>
            </w:pPr>
            <w:r w:rsidRPr="00471B24">
              <w:rPr>
                <w:rFonts w:ascii="Arial" w:hAnsi="Arial" w:cs="Arial"/>
                <w:color w:val="000000" w:themeColor="text1"/>
                <w:sz w:val="22"/>
                <w:szCs w:val="22"/>
              </w:rPr>
              <w:t>--</w:t>
            </w:r>
          </w:p>
        </w:tc>
        <w:tc>
          <w:tcPr>
            <w:tcW w:w="1559" w:type="dxa"/>
            <w:vAlign w:val="center"/>
          </w:tcPr>
          <w:p w:rsidR="00D6535E" w:rsidRDefault="00D6535E" w:rsidP="00CD4006">
            <w:pPr>
              <w:numPr>
                <w:ilvl w:val="12"/>
                <w:numId w:val="0"/>
              </w:numPr>
              <w:tabs>
                <w:tab w:val="left" w:pos="360"/>
              </w:tabs>
              <w:jc w:val="center"/>
              <w:rPr>
                <w:rFonts w:ascii="Arial" w:hAnsi="Arial" w:cs="Arial"/>
                <w:noProof/>
                <w:color w:val="000000" w:themeColor="text1"/>
              </w:rPr>
            </w:pPr>
            <w:r>
              <w:rPr>
                <w:rFonts w:ascii="Arial" w:hAnsi="Arial" w:cs="Arial"/>
                <w:noProof/>
                <w:color w:val="000000" w:themeColor="text1"/>
              </w:rPr>
              <w:t>100%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rPr>
            </w:pPr>
            <w:r w:rsidRPr="00471B24">
              <w:rPr>
                <w:rFonts w:ascii="Arial" w:hAnsi="Arial" w:cs="Arial"/>
                <w:color w:val="000000" w:themeColor="text1"/>
                <w:spacing w:val="-5"/>
                <w:sz w:val="22"/>
                <w:szCs w:val="22"/>
              </w:rPr>
              <w:t>6 months</w:t>
            </w:r>
          </w:p>
        </w:tc>
      </w:tr>
      <w:tr w:rsidR="00D6535E" w:rsidTr="00CD4006">
        <w:trPr>
          <w:trHeight w:val="623"/>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 xml:space="preserve">Term deposits – local authorities  </w:t>
            </w:r>
          </w:p>
        </w:tc>
        <w:tc>
          <w:tcPr>
            <w:tcW w:w="1855" w:type="dxa"/>
          </w:tcPr>
          <w:p w:rsidR="00D6535E" w:rsidRPr="00471B24" w:rsidRDefault="00D6535E" w:rsidP="00CD4006">
            <w:pPr>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w:t>
            </w:r>
          </w:p>
        </w:tc>
        <w:tc>
          <w:tcPr>
            <w:tcW w:w="1559" w:type="dxa"/>
            <w:vAlign w:val="center"/>
          </w:tcPr>
          <w:p w:rsidR="00D6535E" w:rsidRDefault="006A64F8"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20</w:t>
            </w:r>
            <w:r w:rsidR="00D6535E">
              <w:rPr>
                <w:rFonts w:ascii="Arial" w:hAnsi="Arial" w:cs="Arial"/>
                <w:color w:val="000000" w:themeColor="text1"/>
                <w:spacing w:val="-5"/>
                <w:sz w:val="22"/>
                <w:szCs w:val="22"/>
              </w:rPr>
              <w:t>%</w:t>
            </w:r>
          </w:p>
        </w:tc>
        <w:tc>
          <w:tcPr>
            <w:tcW w:w="2755" w:type="dxa"/>
            <w:vAlign w:val="center"/>
          </w:tcPr>
          <w:p w:rsidR="00D6535E" w:rsidRPr="00471B24" w:rsidRDefault="006A64F8" w:rsidP="006A64F8">
            <w:pPr>
              <w:keepNext/>
              <w:widowControl w:val="0"/>
              <w:numPr>
                <w:ilvl w:val="12"/>
                <w:numId w:val="0"/>
              </w:numPr>
              <w:tabs>
                <w:tab w:val="left" w:pos="360"/>
              </w:tabs>
              <w:rPr>
                <w:rFonts w:ascii="Arial" w:hAnsi="Arial" w:cs="Arial"/>
                <w:b/>
                <w:color w:val="000000" w:themeColor="text1"/>
                <w:spacing w:val="-5"/>
              </w:rPr>
            </w:pPr>
            <w:r>
              <w:rPr>
                <w:rFonts w:ascii="Arial" w:hAnsi="Arial" w:cs="Arial"/>
                <w:color w:val="000000" w:themeColor="text1"/>
                <w:spacing w:val="-5"/>
                <w:sz w:val="22"/>
                <w:szCs w:val="22"/>
              </w:rPr>
              <w:t>3</w:t>
            </w:r>
            <w:r w:rsidR="00D6535E">
              <w:rPr>
                <w:rFonts w:ascii="Arial" w:hAnsi="Arial" w:cs="Arial"/>
                <w:color w:val="000000" w:themeColor="text1"/>
                <w:spacing w:val="-5"/>
                <w:sz w:val="22"/>
                <w:szCs w:val="22"/>
              </w:rPr>
              <w:t xml:space="preserve"> year</w:t>
            </w:r>
            <w:r>
              <w:rPr>
                <w:rFonts w:ascii="Arial" w:hAnsi="Arial" w:cs="Arial"/>
                <w:color w:val="000000" w:themeColor="text1"/>
                <w:spacing w:val="-5"/>
                <w:sz w:val="22"/>
                <w:szCs w:val="22"/>
              </w:rPr>
              <w:t xml:space="preserve">s - </w:t>
            </w:r>
            <w:r w:rsidR="00D6535E">
              <w:rPr>
                <w:rFonts w:ascii="Arial" w:hAnsi="Arial" w:cs="Arial"/>
                <w:color w:val="000000" w:themeColor="text1"/>
                <w:spacing w:val="-5"/>
                <w:sz w:val="22"/>
                <w:szCs w:val="22"/>
              </w:rPr>
              <w:t>subject to guidance</w:t>
            </w:r>
          </w:p>
        </w:tc>
      </w:tr>
      <w:tr w:rsidR="00D6535E" w:rsidTr="00CD4006">
        <w:trPr>
          <w:trHeight w:val="932"/>
        </w:trPr>
        <w:tc>
          <w:tcPr>
            <w:tcW w:w="296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z w:val="22"/>
                <w:szCs w:val="22"/>
              </w:rPr>
              <w:t>UK  banks</w:t>
            </w:r>
            <w:r>
              <w:rPr>
                <w:rFonts w:ascii="Arial" w:hAnsi="Arial" w:cs="Arial"/>
                <w:color w:val="000000" w:themeColor="text1"/>
                <w:sz w:val="22"/>
                <w:szCs w:val="22"/>
              </w:rPr>
              <w:t xml:space="preserve"> and building societies</w:t>
            </w:r>
          </w:p>
        </w:tc>
        <w:tc>
          <w:tcPr>
            <w:tcW w:w="18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z w:val="22"/>
                <w:szCs w:val="22"/>
              </w:rPr>
              <w:t>Refer to Creditworthiness Policy</w:t>
            </w:r>
          </w:p>
        </w:tc>
        <w:tc>
          <w:tcPr>
            <w:tcW w:w="1559" w:type="dxa"/>
            <w:vAlign w:val="center"/>
          </w:tcPr>
          <w:p w:rsidR="00D6535E" w:rsidRDefault="00D6535E" w:rsidP="00CD4006">
            <w:pPr>
              <w:numPr>
                <w:ilvl w:val="12"/>
                <w:numId w:val="0"/>
              </w:numPr>
              <w:tabs>
                <w:tab w:val="left" w:pos="360"/>
              </w:tabs>
              <w:jc w:val="center"/>
              <w:rPr>
                <w:rFonts w:ascii="Arial" w:hAnsi="Arial" w:cs="Arial"/>
                <w:noProof/>
                <w:color w:val="000000" w:themeColor="text1"/>
              </w:rPr>
            </w:pPr>
            <w:r>
              <w:rPr>
                <w:rFonts w:ascii="Arial" w:hAnsi="Arial" w:cs="Arial"/>
                <w:noProof/>
                <w:color w:val="000000" w:themeColor="text1"/>
              </w:rPr>
              <w:t>100%</w:t>
            </w:r>
          </w:p>
        </w:tc>
        <w:tc>
          <w:tcPr>
            <w:tcW w:w="27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pacing w:val="-5"/>
                <w:sz w:val="22"/>
                <w:szCs w:val="22"/>
              </w:rPr>
              <w:t>1</w:t>
            </w:r>
            <w:r>
              <w:rPr>
                <w:rFonts w:ascii="Arial" w:hAnsi="Arial" w:cs="Arial"/>
                <w:color w:val="000000" w:themeColor="text1"/>
                <w:spacing w:val="-5"/>
                <w:sz w:val="22"/>
                <w:szCs w:val="22"/>
              </w:rPr>
              <w:t xml:space="preserve"> </w:t>
            </w:r>
            <w:r w:rsidRPr="00471B24">
              <w:rPr>
                <w:rFonts w:ascii="Arial" w:hAnsi="Arial" w:cs="Arial"/>
                <w:color w:val="000000" w:themeColor="text1"/>
                <w:spacing w:val="-5"/>
                <w:sz w:val="22"/>
                <w:szCs w:val="22"/>
              </w:rPr>
              <w:t>year</w:t>
            </w:r>
          </w:p>
        </w:tc>
      </w:tr>
      <w:tr w:rsidR="00D6535E" w:rsidTr="00CD4006">
        <w:trPr>
          <w:trHeight w:val="896"/>
        </w:trPr>
        <w:tc>
          <w:tcPr>
            <w:tcW w:w="2965" w:type="dxa"/>
            <w:vAlign w:val="center"/>
          </w:tcPr>
          <w:p w:rsidR="00D6535E" w:rsidRDefault="00D6535E" w:rsidP="00CD4006">
            <w:pPr>
              <w:numPr>
                <w:ilvl w:val="12"/>
                <w:numId w:val="0"/>
              </w:numPr>
              <w:tabs>
                <w:tab w:val="left" w:pos="360"/>
              </w:tabs>
              <w:rPr>
                <w:rFonts w:ascii="Arial" w:hAnsi="Arial" w:cs="Arial"/>
                <w:noProof/>
                <w:color w:val="000000" w:themeColor="text1"/>
              </w:rPr>
            </w:pPr>
            <w:r>
              <w:rPr>
                <w:rFonts w:ascii="Arial" w:hAnsi="Arial" w:cs="Arial"/>
                <w:color w:val="000000" w:themeColor="text1"/>
                <w:sz w:val="22"/>
                <w:szCs w:val="22"/>
              </w:rPr>
              <w:t xml:space="preserve">Term deposit - </w:t>
            </w:r>
            <w:r w:rsidRPr="00471B24">
              <w:rPr>
                <w:rFonts w:ascii="Arial" w:hAnsi="Arial" w:cs="Arial"/>
                <w:color w:val="000000" w:themeColor="text1"/>
                <w:sz w:val="22"/>
                <w:szCs w:val="22"/>
              </w:rPr>
              <w:t>UK  banks</w:t>
            </w:r>
            <w:r>
              <w:rPr>
                <w:rFonts w:ascii="Arial" w:hAnsi="Arial" w:cs="Arial"/>
                <w:color w:val="000000" w:themeColor="text1"/>
                <w:sz w:val="22"/>
                <w:szCs w:val="22"/>
              </w:rPr>
              <w:t xml:space="preserve"> and building societies</w:t>
            </w:r>
          </w:p>
        </w:tc>
        <w:tc>
          <w:tcPr>
            <w:tcW w:w="18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z w:val="22"/>
                <w:szCs w:val="22"/>
              </w:rPr>
              <w:t>Refer to Creditworthiness Policy</w:t>
            </w:r>
          </w:p>
        </w:tc>
        <w:tc>
          <w:tcPr>
            <w:tcW w:w="1559" w:type="dxa"/>
            <w:vAlign w:val="center"/>
          </w:tcPr>
          <w:p w:rsidR="00D6535E" w:rsidRDefault="00D6535E" w:rsidP="00CD4006">
            <w:pPr>
              <w:numPr>
                <w:ilvl w:val="12"/>
                <w:numId w:val="0"/>
              </w:numPr>
              <w:tabs>
                <w:tab w:val="left" w:pos="360"/>
              </w:tabs>
              <w:jc w:val="center"/>
              <w:rPr>
                <w:rFonts w:ascii="Arial" w:hAnsi="Arial" w:cs="Arial"/>
                <w:noProof/>
                <w:color w:val="000000" w:themeColor="text1"/>
              </w:rPr>
            </w:pPr>
            <w:r>
              <w:rPr>
                <w:rFonts w:ascii="Arial" w:hAnsi="Arial" w:cs="Arial"/>
                <w:noProof/>
                <w:color w:val="000000" w:themeColor="text1"/>
              </w:rPr>
              <w:t>100%</w:t>
            </w:r>
          </w:p>
        </w:tc>
        <w:tc>
          <w:tcPr>
            <w:tcW w:w="27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pacing w:val="-5"/>
                <w:sz w:val="22"/>
                <w:szCs w:val="22"/>
              </w:rPr>
              <w:t>1</w:t>
            </w:r>
            <w:r>
              <w:rPr>
                <w:rFonts w:ascii="Arial" w:hAnsi="Arial" w:cs="Arial"/>
                <w:color w:val="000000" w:themeColor="text1"/>
                <w:spacing w:val="-5"/>
                <w:sz w:val="22"/>
                <w:szCs w:val="22"/>
              </w:rPr>
              <w:t xml:space="preserve"> </w:t>
            </w:r>
            <w:r w:rsidRPr="00471B24">
              <w:rPr>
                <w:rFonts w:ascii="Arial" w:hAnsi="Arial" w:cs="Arial"/>
                <w:color w:val="000000" w:themeColor="text1"/>
                <w:spacing w:val="-5"/>
                <w:sz w:val="22"/>
                <w:szCs w:val="22"/>
              </w:rPr>
              <w:t>year</w:t>
            </w:r>
          </w:p>
        </w:tc>
      </w:tr>
      <w:tr w:rsidR="00D6535E" w:rsidTr="00CD4006">
        <w:trPr>
          <w:trHeight w:val="1120"/>
        </w:trPr>
        <w:tc>
          <w:tcPr>
            <w:tcW w:w="296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z w:val="22"/>
                <w:szCs w:val="22"/>
              </w:rPr>
              <w:t>Banks part nationalised by high credit rated (sovereign rating) countries – non UK</w:t>
            </w:r>
          </w:p>
        </w:tc>
        <w:tc>
          <w:tcPr>
            <w:tcW w:w="18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z w:val="22"/>
                <w:szCs w:val="22"/>
              </w:rPr>
              <w:t>Refer to Creditworthiness Policy</w:t>
            </w:r>
          </w:p>
        </w:tc>
        <w:tc>
          <w:tcPr>
            <w:tcW w:w="1559" w:type="dxa"/>
            <w:vAlign w:val="center"/>
          </w:tcPr>
          <w:p w:rsidR="00D6535E" w:rsidRDefault="00D6535E" w:rsidP="00CD4006">
            <w:pPr>
              <w:numPr>
                <w:ilvl w:val="12"/>
                <w:numId w:val="0"/>
              </w:numPr>
              <w:tabs>
                <w:tab w:val="left" w:pos="360"/>
              </w:tabs>
              <w:jc w:val="center"/>
              <w:rPr>
                <w:rFonts w:ascii="Arial" w:hAnsi="Arial" w:cs="Arial"/>
                <w:noProof/>
                <w:color w:val="000000" w:themeColor="text1"/>
              </w:rPr>
            </w:pPr>
            <w:r>
              <w:rPr>
                <w:rFonts w:ascii="Arial" w:hAnsi="Arial" w:cs="Arial"/>
                <w:noProof/>
                <w:color w:val="000000" w:themeColor="text1"/>
              </w:rPr>
              <w:t>100%</w:t>
            </w:r>
          </w:p>
        </w:tc>
        <w:tc>
          <w:tcPr>
            <w:tcW w:w="27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pacing w:val="-5"/>
                <w:sz w:val="22"/>
                <w:szCs w:val="22"/>
              </w:rPr>
              <w:t>1 year</w:t>
            </w:r>
          </w:p>
        </w:tc>
      </w:tr>
      <w:tr w:rsidR="00D6535E" w:rsidTr="00CD4006">
        <w:trPr>
          <w:trHeight w:val="1375"/>
        </w:trPr>
        <w:tc>
          <w:tcPr>
            <w:tcW w:w="2965" w:type="dxa"/>
            <w:vAlign w:val="center"/>
          </w:tcPr>
          <w:p w:rsidR="00D6535E" w:rsidRDefault="00D6535E" w:rsidP="00CD4006">
            <w:pPr>
              <w:numPr>
                <w:ilvl w:val="12"/>
                <w:numId w:val="0"/>
              </w:numPr>
              <w:tabs>
                <w:tab w:val="left" w:pos="360"/>
              </w:tabs>
              <w:rPr>
                <w:rFonts w:ascii="Arial" w:hAnsi="Arial" w:cs="Arial"/>
                <w:noProof/>
                <w:color w:val="000000" w:themeColor="text1"/>
              </w:rPr>
            </w:pPr>
            <w:r>
              <w:rPr>
                <w:rFonts w:ascii="Arial" w:hAnsi="Arial" w:cs="Arial"/>
                <w:color w:val="000000" w:themeColor="text1"/>
                <w:sz w:val="22"/>
                <w:szCs w:val="22"/>
              </w:rPr>
              <w:t xml:space="preserve">Term deposit - </w:t>
            </w:r>
            <w:r w:rsidRPr="00471B24">
              <w:rPr>
                <w:rFonts w:ascii="Arial" w:hAnsi="Arial" w:cs="Arial"/>
                <w:color w:val="000000" w:themeColor="text1"/>
                <w:sz w:val="22"/>
                <w:szCs w:val="22"/>
              </w:rPr>
              <w:t>Banks part nationalised by high credit rated (sovereign rating) countries – non UK</w:t>
            </w:r>
          </w:p>
        </w:tc>
        <w:tc>
          <w:tcPr>
            <w:tcW w:w="18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z w:val="22"/>
                <w:szCs w:val="22"/>
              </w:rPr>
              <w:t>Refer to Creditworthiness Policy</w:t>
            </w:r>
          </w:p>
        </w:tc>
        <w:tc>
          <w:tcPr>
            <w:tcW w:w="1559" w:type="dxa"/>
            <w:vAlign w:val="center"/>
          </w:tcPr>
          <w:p w:rsidR="00D6535E" w:rsidRDefault="00D6535E" w:rsidP="00CD4006">
            <w:pPr>
              <w:numPr>
                <w:ilvl w:val="12"/>
                <w:numId w:val="0"/>
              </w:numPr>
              <w:tabs>
                <w:tab w:val="left" w:pos="360"/>
              </w:tabs>
              <w:jc w:val="center"/>
              <w:rPr>
                <w:rFonts w:ascii="Arial" w:hAnsi="Arial" w:cs="Arial"/>
                <w:noProof/>
                <w:color w:val="000000" w:themeColor="text1"/>
              </w:rPr>
            </w:pPr>
            <w:r>
              <w:rPr>
                <w:rFonts w:ascii="Arial" w:hAnsi="Arial" w:cs="Arial"/>
                <w:noProof/>
                <w:color w:val="000000" w:themeColor="text1"/>
              </w:rPr>
              <w:t>100%</w:t>
            </w:r>
          </w:p>
        </w:tc>
        <w:tc>
          <w:tcPr>
            <w:tcW w:w="2755" w:type="dxa"/>
            <w:vAlign w:val="center"/>
          </w:tcPr>
          <w:p w:rsidR="00D6535E" w:rsidRDefault="00D6535E" w:rsidP="00CD4006">
            <w:pPr>
              <w:numPr>
                <w:ilvl w:val="12"/>
                <w:numId w:val="0"/>
              </w:numPr>
              <w:tabs>
                <w:tab w:val="left" w:pos="360"/>
              </w:tabs>
              <w:rPr>
                <w:rFonts w:ascii="Arial" w:hAnsi="Arial" w:cs="Arial"/>
                <w:noProof/>
                <w:color w:val="000000" w:themeColor="text1"/>
              </w:rPr>
            </w:pPr>
            <w:r w:rsidRPr="00471B24">
              <w:rPr>
                <w:rFonts w:ascii="Arial" w:hAnsi="Arial" w:cs="Arial"/>
                <w:color w:val="000000" w:themeColor="text1"/>
                <w:spacing w:val="-5"/>
                <w:sz w:val="22"/>
                <w:szCs w:val="22"/>
              </w:rPr>
              <w:t>1 year</w:t>
            </w:r>
          </w:p>
        </w:tc>
      </w:tr>
      <w:tr w:rsidR="00D6535E" w:rsidTr="00CD4006">
        <w:trPr>
          <w:trHeight w:val="567"/>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UK Government Gilts</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UK sovereign rating</w:t>
            </w:r>
          </w:p>
        </w:tc>
        <w:tc>
          <w:tcPr>
            <w:tcW w:w="1559" w:type="dxa"/>
            <w:vAlign w:val="center"/>
          </w:tcPr>
          <w:p w:rsidR="00D6535E" w:rsidRDefault="00D6535E"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50%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rPr>
            </w:pPr>
            <w:r>
              <w:rPr>
                <w:rFonts w:ascii="Arial" w:hAnsi="Arial" w:cs="Arial"/>
                <w:color w:val="000000" w:themeColor="text1"/>
                <w:spacing w:val="-5"/>
                <w:sz w:val="22"/>
                <w:szCs w:val="22"/>
              </w:rPr>
              <w:t>1 year s</w:t>
            </w:r>
            <w:r w:rsidRPr="00471B24">
              <w:rPr>
                <w:rFonts w:ascii="Arial" w:hAnsi="Arial" w:cs="Arial"/>
                <w:color w:val="000000" w:themeColor="text1"/>
                <w:spacing w:val="-5"/>
                <w:sz w:val="22"/>
                <w:szCs w:val="22"/>
              </w:rPr>
              <w:t>ubject to guidance</w:t>
            </w:r>
            <w:r>
              <w:rPr>
                <w:rFonts w:ascii="Arial" w:hAnsi="Arial" w:cs="Arial"/>
                <w:color w:val="000000" w:themeColor="text1"/>
                <w:spacing w:val="-5"/>
                <w:sz w:val="22"/>
                <w:szCs w:val="22"/>
              </w:rPr>
              <w:t xml:space="preserve"> </w:t>
            </w:r>
          </w:p>
        </w:tc>
      </w:tr>
      <w:tr w:rsidR="00D6535E" w:rsidTr="00CD4006">
        <w:trPr>
          <w:trHeight w:val="862"/>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Bonds issued by multilateral development banks</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AAA</w:t>
            </w:r>
          </w:p>
        </w:tc>
        <w:tc>
          <w:tcPr>
            <w:tcW w:w="1559" w:type="dxa"/>
            <w:vAlign w:val="center"/>
          </w:tcPr>
          <w:p w:rsidR="00D6535E" w:rsidRPr="00471B24" w:rsidRDefault="00D6535E"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20%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rPr>
            </w:pPr>
            <w:r w:rsidRPr="00471B24">
              <w:rPr>
                <w:rFonts w:ascii="Arial" w:hAnsi="Arial" w:cs="Arial"/>
                <w:color w:val="000000" w:themeColor="text1"/>
                <w:spacing w:val="-5"/>
                <w:sz w:val="22"/>
                <w:szCs w:val="22"/>
              </w:rPr>
              <w:t>6 months</w:t>
            </w:r>
            <w:r>
              <w:rPr>
                <w:rFonts w:ascii="Arial" w:hAnsi="Arial" w:cs="Arial"/>
                <w:color w:val="000000" w:themeColor="text1"/>
                <w:spacing w:val="-5"/>
                <w:sz w:val="22"/>
                <w:szCs w:val="22"/>
              </w:rPr>
              <w:t xml:space="preserve"> subject to guidance</w:t>
            </w:r>
          </w:p>
        </w:tc>
      </w:tr>
      <w:tr w:rsidR="00D6535E" w:rsidTr="00CD4006">
        <w:trPr>
          <w:trHeight w:val="931"/>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z w:val="22"/>
                <w:szCs w:val="22"/>
              </w:rPr>
            </w:pPr>
            <w:r>
              <w:rPr>
                <w:rFonts w:ascii="Arial" w:hAnsi="Arial" w:cs="Arial"/>
                <w:color w:val="000000" w:themeColor="text1"/>
                <w:sz w:val="22"/>
                <w:szCs w:val="22"/>
              </w:rPr>
              <w:t>Sovereign bond issues (other than the UK government)</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sz w:val="22"/>
                <w:szCs w:val="22"/>
              </w:rPr>
            </w:pPr>
            <w:r>
              <w:rPr>
                <w:rFonts w:ascii="Arial" w:hAnsi="Arial" w:cs="Arial"/>
                <w:color w:val="000000" w:themeColor="text1"/>
                <w:sz w:val="22"/>
                <w:szCs w:val="22"/>
              </w:rPr>
              <w:t>AAA</w:t>
            </w:r>
          </w:p>
        </w:tc>
        <w:tc>
          <w:tcPr>
            <w:tcW w:w="1559" w:type="dxa"/>
            <w:vAlign w:val="center"/>
          </w:tcPr>
          <w:p w:rsidR="00D6535E" w:rsidRDefault="00D6535E"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20%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sz w:val="22"/>
                <w:szCs w:val="22"/>
              </w:rPr>
            </w:pPr>
            <w:r>
              <w:rPr>
                <w:rFonts w:ascii="Arial" w:hAnsi="Arial" w:cs="Arial"/>
                <w:color w:val="000000" w:themeColor="text1"/>
                <w:spacing w:val="-5"/>
                <w:sz w:val="22"/>
                <w:szCs w:val="22"/>
              </w:rPr>
              <w:t>1 year s</w:t>
            </w:r>
            <w:r w:rsidRPr="00471B24">
              <w:rPr>
                <w:rFonts w:ascii="Arial" w:hAnsi="Arial" w:cs="Arial"/>
                <w:color w:val="000000" w:themeColor="text1"/>
                <w:spacing w:val="-5"/>
                <w:sz w:val="22"/>
                <w:szCs w:val="22"/>
              </w:rPr>
              <w:t>ubject to guidance</w:t>
            </w:r>
          </w:p>
        </w:tc>
      </w:tr>
      <w:tr w:rsidR="00D6535E" w:rsidTr="00CD4006">
        <w:trPr>
          <w:trHeight w:val="643"/>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z w:val="22"/>
                <w:szCs w:val="22"/>
              </w:rPr>
            </w:pPr>
            <w:r w:rsidRPr="00471B24">
              <w:rPr>
                <w:rFonts w:ascii="Arial" w:hAnsi="Arial" w:cs="Arial"/>
                <w:color w:val="000000" w:themeColor="text1"/>
                <w:sz w:val="22"/>
                <w:szCs w:val="22"/>
              </w:rPr>
              <w:t>Money Market Funds</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sz w:val="22"/>
                <w:szCs w:val="22"/>
              </w:rPr>
            </w:pPr>
            <w:r w:rsidRPr="00471B24">
              <w:rPr>
                <w:rFonts w:ascii="Arial" w:hAnsi="Arial" w:cs="Arial"/>
                <w:color w:val="000000" w:themeColor="text1"/>
                <w:sz w:val="22"/>
                <w:szCs w:val="22"/>
              </w:rPr>
              <w:t>AAA</w:t>
            </w:r>
          </w:p>
        </w:tc>
        <w:tc>
          <w:tcPr>
            <w:tcW w:w="1559" w:type="dxa"/>
            <w:vAlign w:val="center"/>
          </w:tcPr>
          <w:p w:rsidR="00D6535E" w:rsidRPr="00471B24" w:rsidRDefault="00D6535E"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20%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sz w:val="22"/>
                <w:szCs w:val="22"/>
              </w:rPr>
            </w:pPr>
            <w:r w:rsidRPr="00471B24">
              <w:rPr>
                <w:rFonts w:ascii="Arial" w:hAnsi="Arial" w:cs="Arial"/>
                <w:color w:val="000000" w:themeColor="text1"/>
                <w:spacing w:val="-5"/>
                <w:sz w:val="22"/>
                <w:szCs w:val="22"/>
              </w:rPr>
              <w:t>Liquid</w:t>
            </w:r>
            <w:r>
              <w:rPr>
                <w:rFonts w:ascii="Arial" w:hAnsi="Arial" w:cs="Arial"/>
                <w:color w:val="000000" w:themeColor="text1"/>
                <w:spacing w:val="-5"/>
                <w:sz w:val="22"/>
                <w:szCs w:val="22"/>
              </w:rPr>
              <w:t xml:space="preserve"> – subject to guidance</w:t>
            </w:r>
          </w:p>
        </w:tc>
      </w:tr>
      <w:tr w:rsidR="00D6535E" w:rsidTr="00CD4006">
        <w:trPr>
          <w:trHeight w:val="567"/>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z w:val="22"/>
                <w:szCs w:val="22"/>
              </w:rPr>
            </w:pPr>
            <w:r>
              <w:rPr>
                <w:rFonts w:ascii="Arial" w:hAnsi="Arial" w:cs="Arial"/>
                <w:color w:val="000000" w:themeColor="text1"/>
                <w:sz w:val="22"/>
                <w:szCs w:val="22"/>
              </w:rPr>
              <w:t>Bond Funds</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sz w:val="22"/>
                <w:szCs w:val="22"/>
              </w:rPr>
            </w:pPr>
            <w:r>
              <w:rPr>
                <w:rFonts w:ascii="Arial" w:hAnsi="Arial" w:cs="Arial"/>
                <w:color w:val="000000" w:themeColor="text1"/>
                <w:sz w:val="22"/>
                <w:szCs w:val="22"/>
              </w:rPr>
              <w:t>AAA</w:t>
            </w:r>
          </w:p>
        </w:tc>
        <w:tc>
          <w:tcPr>
            <w:tcW w:w="1559" w:type="dxa"/>
            <w:vAlign w:val="center"/>
          </w:tcPr>
          <w:p w:rsidR="00D6535E" w:rsidRDefault="00D6535E"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20%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sz w:val="22"/>
                <w:szCs w:val="22"/>
              </w:rPr>
            </w:pPr>
            <w:r>
              <w:rPr>
                <w:rFonts w:ascii="Arial" w:hAnsi="Arial" w:cs="Arial"/>
                <w:color w:val="000000" w:themeColor="text1"/>
                <w:spacing w:val="-5"/>
                <w:sz w:val="22"/>
                <w:szCs w:val="22"/>
              </w:rPr>
              <w:t>1 year s</w:t>
            </w:r>
            <w:r w:rsidRPr="00471B24">
              <w:rPr>
                <w:rFonts w:ascii="Arial" w:hAnsi="Arial" w:cs="Arial"/>
                <w:color w:val="000000" w:themeColor="text1"/>
                <w:spacing w:val="-5"/>
                <w:sz w:val="22"/>
                <w:szCs w:val="22"/>
              </w:rPr>
              <w:t>ubject to guidance</w:t>
            </w:r>
          </w:p>
        </w:tc>
      </w:tr>
      <w:tr w:rsidR="00D6535E" w:rsidTr="00CD4006">
        <w:trPr>
          <w:trHeight w:val="637"/>
        </w:trPr>
        <w:tc>
          <w:tcPr>
            <w:tcW w:w="296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Treasury Bills</w:t>
            </w:r>
          </w:p>
        </w:tc>
        <w:tc>
          <w:tcPr>
            <w:tcW w:w="1855" w:type="dxa"/>
            <w:vAlign w:val="center"/>
          </w:tcPr>
          <w:p w:rsidR="00D6535E" w:rsidRPr="00471B24" w:rsidRDefault="00D6535E" w:rsidP="00CD4006">
            <w:pPr>
              <w:numPr>
                <w:ilvl w:val="12"/>
                <w:numId w:val="0"/>
              </w:numPr>
              <w:tabs>
                <w:tab w:val="left" w:pos="360"/>
              </w:tabs>
              <w:rPr>
                <w:rFonts w:ascii="Arial" w:hAnsi="Arial" w:cs="Arial"/>
                <w:color w:val="000000" w:themeColor="text1"/>
              </w:rPr>
            </w:pPr>
            <w:r w:rsidRPr="00471B24">
              <w:rPr>
                <w:rFonts w:ascii="Arial" w:hAnsi="Arial" w:cs="Arial"/>
                <w:color w:val="000000" w:themeColor="text1"/>
                <w:sz w:val="22"/>
                <w:szCs w:val="22"/>
              </w:rPr>
              <w:t>UK sovereign rating</w:t>
            </w:r>
          </w:p>
        </w:tc>
        <w:tc>
          <w:tcPr>
            <w:tcW w:w="1559" w:type="dxa"/>
            <w:vAlign w:val="center"/>
          </w:tcPr>
          <w:p w:rsidR="00D6535E" w:rsidRDefault="00D6535E" w:rsidP="00CD4006">
            <w:pPr>
              <w:keepNext/>
              <w:widowControl w:val="0"/>
              <w:numPr>
                <w:ilvl w:val="12"/>
                <w:numId w:val="0"/>
              </w:numPr>
              <w:tabs>
                <w:tab w:val="left" w:pos="360"/>
              </w:tabs>
              <w:jc w:val="center"/>
              <w:rPr>
                <w:rFonts w:ascii="Arial" w:hAnsi="Arial" w:cs="Arial"/>
                <w:color w:val="000000" w:themeColor="text1"/>
                <w:spacing w:val="-5"/>
                <w:sz w:val="22"/>
                <w:szCs w:val="22"/>
              </w:rPr>
            </w:pPr>
            <w:r>
              <w:rPr>
                <w:rFonts w:ascii="Arial" w:hAnsi="Arial" w:cs="Arial"/>
                <w:color w:val="000000" w:themeColor="text1"/>
                <w:spacing w:val="-5"/>
                <w:sz w:val="22"/>
                <w:szCs w:val="22"/>
              </w:rPr>
              <w:t>20%</w:t>
            </w:r>
          </w:p>
        </w:tc>
        <w:tc>
          <w:tcPr>
            <w:tcW w:w="2755" w:type="dxa"/>
            <w:vAlign w:val="center"/>
          </w:tcPr>
          <w:p w:rsidR="00D6535E" w:rsidRPr="00471B24" w:rsidRDefault="00D6535E" w:rsidP="00CD4006">
            <w:pPr>
              <w:keepNext/>
              <w:widowControl w:val="0"/>
              <w:numPr>
                <w:ilvl w:val="12"/>
                <w:numId w:val="0"/>
              </w:numPr>
              <w:tabs>
                <w:tab w:val="left" w:pos="360"/>
              </w:tabs>
              <w:rPr>
                <w:rFonts w:ascii="Arial" w:hAnsi="Arial" w:cs="Arial"/>
                <w:color w:val="000000" w:themeColor="text1"/>
                <w:spacing w:val="-5"/>
                <w:sz w:val="22"/>
                <w:szCs w:val="22"/>
              </w:rPr>
            </w:pPr>
            <w:r>
              <w:rPr>
                <w:rFonts w:ascii="Arial" w:hAnsi="Arial" w:cs="Arial"/>
                <w:color w:val="000000" w:themeColor="text1"/>
                <w:spacing w:val="-5"/>
                <w:sz w:val="22"/>
                <w:szCs w:val="22"/>
              </w:rPr>
              <w:t>1 year s</w:t>
            </w:r>
            <w:r w:rsidRPr="00471B24">
              <w:rPr>
                <w:rFonts w:ascii="Arial" w:hAnsi="Arial" w:cs="Arial"/>
                <w:color w:val="000000" w:themeColor="text1"/>
                <w:spacing w:val="-5"/>
                <w:sz w:val="22"/>
                <w:szCs w:val="22"/>
              </w:rPr>
              <w:t>ubject to guidance</w:t>
            </w:r>
          </w:p>
        </w:tc>
      </w:tr>
    </w:tbl>
    <w:p w:rsidR="00D6535E" w:rsidRPr="00471B24" w:rsidRDefault="00D6535E" w:rsidP="00D6535E">
      <w:pPr>
        <w:numPr>
          <w:ilvl w:val="12"/>
          <w:numId w:val="0"/>
        </w:numPr>
        <w:tabs>
          <w:tab w:val="left" w:pos="360"/>
        </w:tabs>
        <w:jc w:val="both"/>
        <w:rPr>
          <w:rFonts w:ascii="Arial" w:hAnsi="Arial" w:cs="Arial"/>
          <w:noProof/>
          <w:color w:val="000000" w:themeColor="text1"/>
        </w:rPr>
      </w:pPr>
    </w:p>
    <w:p w:rsidR="00CD4006" w:rsidRPr="00CD4006" w:rsidRDefault="00CD4006" w:rsidP="00CD4006">
      <w:pPr>
        <w:spacing w:before="120"/>
        <w:jc w:val="both"/>
        <w:rPr>
          <w:rFonts w:ascii="Arial" w:hAnsi="Arial" w:cs="Arial"/>
          <w:noProof/>
          <w:color w:val="000000" w:themeColor="text1"/>
        </w:rPr>
      </w:pPr>
      <w:r w:rsidRPr="00B54304">
        <w:rPr>
          <w:rFonts w:ascii="Arial" w:hAnsi="Arial" w:cs="Arial"/>
          <w:b/>
          <w:noProof/>
          <w:color w:val="000000" w:themeColor="text1"/>
        </w:rPr>
        <w:t>Non-specified investments</w:t>
      </w:r>
      <w:r w:rsidR="00B54304">
        <w:rPr>
          <w:rFonts w:ascii="Arial" w:hAnsi="Arial" w:cs="Arial"/>
          <w:noProof/>
          <w:color w:val="000000" w:themeColor="text1"/>
        </w:rPr>
        <w:t>:</w:t>
      </w:r>
      <w:r w:rsidRPr="00CD4006">
        <w:rPr>
          <w:rFonts w:ascii="Arial" w:hAnsi="Arial" w:cs="Arial"/>
          <w:noProof/>
          <w:color w:val="000000" w:themeColor="text1"/>
        </w:rPr>
        <w:t xml:space="preserve"> –are any other type of investment (i.e. not defined as specified above).  The identification and rationale supporting the selection of these </w:t>
      </w:r>
      <w:r w:rsidRPr="00CD4006">
        <w:rPr>
          <w:rFonts w:ascii="Arial" w:hAnsi="Arial" w:cs="Arial"/>
          <w:noProof/>
          <w:color w:val="000000" w:themeColor="text1"/>
        </w:rPr>
        <w:lastRenderedPageBreak/>
        <w:t>other investments and the maximum limits to be applied are set out below.  Non specified investments would include any sterling investments (the guidance does not specify sterling so its inclusion is optional for English authorities) with:</w:t>
      </w:r>
    </w:p>
    <w:p w:rsidR="00CD4006" w:rsidRPr="00CD4006" w:rsidRDefault="00CD4006" w:rsidP="00CD4006">
      <w:pPr>
        <w:jc w:val="both"/>
        <w:rPr>
          <w:rFonts w:ascii="Arial" w:hAnsi="Arial" w:cs="Arial"/>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8"/>
        <w:gridCol w:w="6480"/>
        <w:gridCol w:w="1754"/>
      </w:tblGrid>
      <w:tr w:rsidR="00CD4006" w:rsidRPr="00CD4006" w:rsidTr="00CD4006">
        <w:tc>
          <w:tcPr>
            <w:tcW w:w="288" w:type="dxa"/>
            <w:tcBorders>
              <w:top w:val="single" w:sz="4" w:space="0" w:color="auto"/>
            </w:tcBorders>
          </w:tcPr>
          <w:p w:rsidR="00CD4006" w:rsidRPr="00CD4006" w:rsidRDefault="00CD4006" w:rsidP="00CD4006">
            <w:pPr>
              <w:spacing w:after="120"/>
              <w:jc w:val="both"/>
              <w:rPr>
                <w:rFonts w:ascii="Arial" w:hAnsi="Arial" w:cs="Arial"/>
                <w:noProof/>
                <w:color w:val="000000" w:themeColor="text1"/>
              </w:rPr>
            </w:pPr>
          </w:p>
        </w:tc>
        <w:tc>
          <w:tcPr>
            <w:tcW w:w="6480" w:type="dxa"/>
            <w:tcBorders>
              <w:top w:val="single" w:sz="4" w:space="0" w:color="auto"/>
            </w:tcBorders>
          </w:tcPr>
          <w:p w:rsidR="00CD4006" w:rsidRPr="001137E2" w:rsidRDefault="00CD4006" w:rsidP="00CD4006">
            <w:pPr>
              <w:spacing w:after="120"/>
              <w:jc w:val="both"/>
              <w:rPr>
                <w:rFonts w:ascii="Arial" w:hAnsi="Arial" w:cs="Arial"/>
                <w:b/>
                <w:noProof/>
                <w:color w:val="000000" w:themeColor="text1"/>
              </w:rPr>
            </w:pPr>
            <w:r w:rsidRPr="001137E2">
              <w:rPr>
                <w:rFonts w:ascii="Arial" w:hAnsi="Arial" w:cs="Arial"/>
                <w:b/>
                <w:noProof/>
                <w:color w:val="000000" w:themeColor="text1"/>
              </w:rPr>
              <w:t>Non Specified Investment Category</w:t>
            </w:r>
          </w:p>
        </w:tc>
        <w:tc>
          <w:tcPr>
            <w:tcW w:w="1754" w:type="dxa"/>
            <w:tcBorders>
              <w:top w:val="single" w:sz="4" w:space="0" w:color="auto"/>
            </w:tcBorders>
          </w:tcPr>
          <w:p w:rsidR="00CD4006" w:rsidRPr="001137E2" w:rsidRDefault="00CD4006" w:rsidP="00CD4006">
            <w:pPr>
              <w:spacing w:after="120"/>
              <w:jc w:val="both"/>
              <w:rPr>
                <w:rFonts w:ascii="Arial" w:hAnsi="Arial" w:cs="Arial"/>
                <w:b/>
                <w:noProof/>
                <w:color w:val="000000" w:themeColor="text1"/>
              </w:rPr>
            </w:pPr>
            <w:r w:rsidRPr="001137E2">
              <w:rPr>
                <w:rFonts w:ascii="Arial" w:hAnsi="Arial" w:cs="Arial"/>
                <w:b/>
                <w:noProof/>
                <w:color w:val="000000" w:themeColor="text1"/>
              </w:rPr>
              <w:t>Limit (£ or %)</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Supranational bonds greater than 1 year to maturity</w:t>
            </w:r>
          </w:p>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 xml:space="preserve">(a) Multilateral development bank bonds - These are bonds defined as an international financial institution having as one of its objects economic development, either generally or in any region of the world (e.g. European Reconstruction and Development Bank etc.).  </w:t>
            </w:r>
          </w:p>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(b) A financial institution that is guaranteed by the United Kingdom Government (e.g. National Rail, the Guaranteed Export Finance Company {GEFCO})</w:t>
            </w:r>
          </w:p>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 xml:space="preserve">The security of interest and principal on maturity is on a par with the Government and so very secure.  These bonds usually provide returns above equivalent gilt edged securities. However the value of the bond may rise or fall before maturity and losses may accrue if the bond is sold before maturity.  </w:t>
            </w:r>
          </w:p>
        </w:tc>
        <w:tc>
          <w:tcPr>
            <w:tcW w:w="1754" w:type="dxa"/>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AAA long term ratings (or other of your choice)</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Gilt edged securities with a maturity of greater than one year.  These are Government bonds and so provide the highest security of interest and the repayment of principal on maturity. Similar to category (a) above, the value of the bond may rise or fall before maturity and losses may accrue if the bond is sold before maturity.</w:t>
            </w:r>
          </w:p>
        </w:tc>
        <w:tc>
          <w:tcPr>
            <w:tcW w:w="1754" w:type="dxa"/>
          </w:tcPr>
          <w:p w:rsidR="00CD4006" w:rsidRPr="00CD4006" w:rsidRDefault="00E351B0" w:rsidP="00CD4006">
            <w:pPr>
              <w:spacing w:after="120"/>
              <w:jc w:val="both"/>
              <w:rPr>
                <w:rFonts w:ascii="Arial" w:hAnsi="Arial" w:cs="Arial"/>
                <w:noProof/>
                <w:color w:val="000000" w:themeColor="text1"/>
              </w:rPr>
            </w:pPr>
            <w:r>
              <w:rPr>
                <w:rFonts w:ascii="Arial" w:hAnsi="Arial" w:cs="Arial"/>
                <w:noProof/>
                <w:color w:val="000000" w:themeColor="text1"/>
              </w:rPr>
              <w:t xml:space="preserve">£3m </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CD4006">
            <w:pPr>
              <w:pStyle w:val="BodyText"/>
              <w:spacing w:after="120"/>
              <w:rPr>
                <w:rFonts w:ascii="Arial" w:hAnsi="Arial" w:cs="Arial"/>
                <w:noProof/>
                <w:color w:val="000000" w:themeColor="text1"/>
              </w:rPr>
            </w:pPr>
            <w:r w:rsidRPr="00CD4006">
              <w:rPr>
                <w:rFonts w:ascii="Arial" w:hAnsi="Arial" w:cs="Arial"/>
                <w:noProof/>
                <w:color w:val="000000" w:themeColor="text1"/>
              </w:rPr>
              <w:t>The Council’s own banker if it fails to meet the basic credit criteria.  In this instance balances will be minimised as far as is possible.</w:t>
            </w:r>
          </w:p>
        </w:tc>
        <w:tc>
          <w:tcPr>
            <w:tcW w:w="1754" w:type="dxa"/>
          </w:tcPr>
          <w:p w:rsidR="00CD4006" w:rsidRPr="00CD4006" w:rsidRDefault="00CD4006" w:rsidP="00CD4006">
            <w:pPr>
              <w:spacing w:after="120"/>
              <w:jc w:val="both"/>
              <w:rPr>
                <w:rFonts w:ascii="Arial" w:hAnsi="Arial" w:cs="Arial"/>
                <w:noProof/>
                <w:color w:val="000000" w:themeColor="text1"/>
              </w:rPr>
            </w:pP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6A64F8">
            <w:pPr>
              <w:spacing w:after="120"/>
              <w:jc w:val="both"/>
              <w:rPr>
                <w:rFonts w:ascii="Arial" w:hAnsi="Arial" w:cs="Arial"/>
                <w:noProof/>
                <w:color w:val="000000" w:themeColor="text1"/>
              </w:rPr>
            </w:pPr>
            <w:r w:rsidRPr="00CD4006">
              <w:rPr>
                <w:rFonts w:ascii="Arial" w:hAnsi="Arial" w:cs="Arial"/>
                <w:noProof/>
                <w:color w:val="000000" w:themeColor="text1"/>
              </w:rPr>
              <w:t xml:space="preserve">Building societies not meeting the basic security requirements under the specified investments.  The operation of some building societies does not require a credit rating, although in every other respect the security of the society would match similarly sized societies with ratings.  The Council </w:t>
            </w:r>
            <w:r w:rsidR="006A64F8">
              <w:rPr>
                <w:rFonts w:ascii="Arial" w:hAnsi="Arial" w:cs="Arial"/>
                <w:noProof/>
                <w:color w:val="000000" w:themeColor="text1"/>
              </w:rPr>
              <w:t>may</w:t>
            </w:r>
            <w:r w:rsidRPr="00CD4006">
              <w:rPr>
                <w:rFonts w:ascii="Arial" w:hAnsi="Arial" w:cs="Arial"/>
                <w:noProof/>
                <w:color w:val="000000" w:themeColor="text1"/>
              </w:rPr>
              <w:t xml:space="preserve"> use such building societies which have a minimum asset size of £</w:t>
            </w:r>
            <w:r w:rsidR="006A64F8">
              <w:rPr>
                <w:rFonts w:ascii="Arial" w:hAnsi="Arial" w:cs="Arial"/>
                <w:noProof/>
                <w:color w:val="000000" w:themeColor="text1"/>
              </w:rPr>
              <w:t>xx</w:t>
            </w:r>
            <w:r w:rsidRPr="00CD4006">
              <w:rPr>
                <w:rFonts w:ascii="Arial" w:hAnsi="Arial" w:cs="Arial"/>
                <w:noProof/>
                <w:color w:val="000000" w:themeColor="text1"/>
              </w:rPr>
              <w:t xml:space="preserve">, but will restrict these type of investments to </w:t>
            </w:r>
            <w:r w:rsidR="006A64F8">
              <w:rPr>
                <w:rFonts w:ascii="Arial" w:hAnsi="Arial" w:cs="Arial"/>
                <w:noProof/>
                <w:color w:val="000000" w:themeColor="text1"/>
              </w:rPr>
              <w:t>£3m</w:t>
            </w:r>
          </w:p>
        </w:tc>
        <w:tc>
          <w:tcPr>
            <w:tcW w:w="1754" w:type="dxa"/>
          </w:tcPr>
          <w:p w:rsidR="00CD4006" w:rsidRPr="00CD4006" w:rsidRDefault="006A64F8" w:rsidP="006A64F8">
            <w:pPr>
              <w:spacing w:after="120"/>
              <w:jc w:val="both"/>
              <w:rPr>
                <w:rFonts w:ascii="Arial" w:hAnsi="Arial" w:cs="Arial"/>
                <w:noProof/>
                <w:color w:val="000000" w:themeColor="text1"/>
              </w:rPr>
            </w:pPr>
            <w:r>
              <w:rPr>
                <w:rFonts w:ascii="Arial" w:hAnsi="Arial" w:cs="Arial"/>
                <w:noProof/>
                <w:color w:val="000000" w:themeColor="text1"/>
              </w:rPr>
              <w:t>£3m – 10% of fund</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E351B0">
            <w:pPr>
              <w:spacing w:after="120"/>
              <w:jc w:val="both"/>
              <w:rPr>
                <w:rFonts w:ascii="Arial" w:hAnsi="Arial" w:cs="Arial"/>
                <w:noProof/>
                <w:color w:val="000000" w:themeColor="text1"/>
              </w:rPr>
            </w:pPr>
            <w:r w:rsidRPr="00CD4006">
              <w:rPr>
                <w:rFonts w:ascii="Arial" w:hAnsi="Arial" w:cs="Arial"/>
                <w:noProof/>
                <w:color w:val="000000" w:themeColor="text1"/>
              </w:rPr>
              <w:t xml:space="preserve">Any bank or building society that has a </w:t>
            </w:r>
            <w:r w:rsidR="00E351B0">
              <w:rPr>
                <w:rFonts w:ascii="Arial" w:hAnsi="Arial" w:cs="Arial"/>
                <w:noProof/>
                <w:color w:val="000000" w:themeColor="text1"/>
              </w:rPr>
              <w:t>meets the credit worthy policy</w:t>
            </w:r>
            <w:r w:rsidRPr="00CD4006">
              <w:rPr>
                <w:rFonts w:ascii="Arial" w:hAnsi="Arial" w:cs="Arial"/>
                <w:noProof/>
                <w:color w:val="000000" w:themeColor="text1"/>
              </w:rPr>
              <w:t xml:space="preserve"> for deposits with a maturity of greater than one year (including forward deals in excess of one year from inception to repayment).</w:t>
            </w:r>
          </w:p>
        </w:tc>
        <w:tc>
          <w:tcPr>
            <w:tcW w:w="1754" w:type="dxa"/>
          </w:tcPr>
          <w:p w:rsidR="00CD4006" w:rsidRPr="00CD4006" w:rsidRDefault="00E351B0" w:rsidP="00E351B0">
            <w:pPr>
              <w:spacing w:after="120"/>
              <w:jc w:val="both"/>
              <w:rPr>
                <w:rFonts w:ascii="Arial" w:hAnsi="Arial" w:cs="Arial"/>
                <w:noProof/>
                <w:color w:val="000000" w:themeColor="text1"/>
              </w:rPr>
            </w:pPr>
            <w:r>
              <w:rPr>
                <w:rFonts w:ascii="Arial" w:hAnsi="Arial" w:cs="Arial"/>
                <w:noProof/>
                <w:color w:val="000000" w:themeColor="text1"/>
              </w:rPr>
              <w:t xml:space="preserve"> As per credit worthiness policy</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E351B0">
            <w:pPr>
              <w:spacing w:after="120"/>
              <w:jc w:val="both"/>
              <w:rPr>
                <w:rFonts w:ascii="Arial" w:hAnsi="Arial" w:cs="Arial"/>
                <w:noProof/>
                <w:color w:val="000000" w:themeColor="text1"/>
              </w:rPr>
            </w:pPr>
            <w:r w:rsidRPr="00CD4006">
              <w:rPr>
                <w:rFonts w:ascii="Arial" w:hAnsi="Arial" w:cs="Arial"/>
                <w:noProof/>
                <w:color w:val="000000" w:themeColor="text1"/>
              </w:rPr>
              <w:t>Any non rated subsidiary of a credit rated institution included in the specified investment category.  These institutions will be included as an investment category subject to</w:t>
            </w:r>
            <w:r w:rsidR="00E351B0">
              <w:rPr>
                <w:rFonts w:ascii="Arial" w:hAnsi="Arial" w:cs="Arial"/>
                <w:noProof/>
                <w:color w:val="000000" w:themeColor="text1"/>
              </w:rPr>
              <w:t xml:space="preserve"> Member approval following receipt of appropriate specialist advice.</w:t>
            </w:r>
          </w:p>
        </w:tc>
        <w:tc>
          <w:tcPr>
            <w:tcW w:w="1754" w:type="dxa"/>
          </w:tcPr>
          <w:p w:rsidR="00CD4006" w:rsidRPr="00CD4006" w:rsidRDefault="00E351B0" w:rsidP="00E351B0">
            <w:pPr>
              <w:spacing w:after="120"/>
              <w:jc w:val="both"/>
              <w:rPr>
                <w:rFonts w:ascii="Arial" w:hAnsi="Arial" w:cs="Arial"/>
                <w:noProof/>
                <w:color w:val="000000" w:themeColor="text1"/>
              </w:rPr>
            </w:pPr>
            <w:r>
              <w:rPr>
                <w:rFonts w:ascii="Arial" w:hAnsi="Arial" w:cs="Arial"/>
                <w:noProof/>
                <w:color w:val="000000" w:themeColor="text1"/>
              </w:rPr>
              <w:t>Specific authorisation required from Members</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 xml:space="preserve">Share capital in a body corporate – The use of these instruments will be deemed to be capital expenditure, and as such will be an application (spending) of capital </w:t>
            </w:r>
            <w:r w:rsidRPr="00CD4006">
              <w:rPr>
                <w:rFonts w:ascii="Arial" w:hAnsi="Arial" w:cs="Arial"/>
                <w:noProof/>
                <w:color w:val="000000" w:themeColor="text1"/>
              </w:rPr>
              <w:lastRenderedPageBreak/>
              <w:t xml:space="preserve">resources.  Revenue resources will not be invested in corporate bodies. See note 1 below. </w:t>
            </w:r>
          </w:p>
        </w:tc>
        <w:tc>
          <w:tcPr>
            <w:tcW w:w="1754" w:type="dxa"/>
          </w:tcPr>
          <w:p w:rsidR="00CD4006" w:rsidRPr="00CD4006" w:rsidRDefault="00E351B0" w:rsidP="00CD4006">
            <w:pPr>
              <w:spacing w:after="120"/>
              <w:jc w:val="both"/>
              <w:rPr>
                <w:rFonts w:ascii="Arial" w:hAnsi="Arial" w:cs="Arial"/>
                <w:noProof/>
                <w:color w:val="000000" w:themeColor="text1"/>
              </w:rPr>
            </w:pPr>
            <w:r>
              <w:rPr>
                <w:rFonts w:ascii="Arial" w:hAnsi="Arial" w:cs="Arial"/>
                <w:noProof/>
                <w:color w:val="000000" w:themeColor="text1"/>
              </w:rPr>
              <w:lastRenderedPageBreak/>
              <w:t xml:space="preserve">Specific authorisation required from </w:t>
            </w:r>
            <w:r>
              <w:rPr>
                <w:rFonts w:ascii="Arial" w:hAnsi="Arial" w:cs="Arial"/>
                <w:noProof/>
                <w:color w:val="000000" w:themeColor="text1"/>
              </w:rPr>
              <w:lastRenderedPageBreak/>
              <w:t>Members</w:t>
            </w:r>
          </w:p>
        </w:tc>
      </w:tr>
      <w:tr w:rsidR="00CD4006" w:rsidRPr="00CD4006" w:rsidTr="00CD4006">
        <w:tc>
          <w:tcPr>
            <w:tcW w:w="288" w:type="dxa"/>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Loan capital in a body corporate.  See note 1 below.   Please put criteria in if being considered</w:t>
            </w:r>
          </w:p>
        </w:tc>
        <w:tc>
          <w:tcPr>
            <w:tcW w:w="1754" w:type="dxa"/>
          </w:tcPr>
          <w:p w:rsidR="00CD4006" w:rsidRPr="00CD4006" w:rsidRDefault="00E351B0" w:rsidP="00CD4006">
            <w:pPr>
              <w:spacing w:after="120"/>
              <w:jc w:val="both"/>
              <w:rPr>
                <w:rFonts w:ascii="Arial" w:hAnsi="Arial" w:cs="Arial"/>
                <w:noProof/>
                <w:color w:val="000000" w:themeColor="text1"/>
              </w:rPr>
            </w:pPr>
            <w:r>
              <w:rPr>
                <w:rFonts w:ascii="Arial" w:hAnsi="Arial" w:cs="Arial"/>
                <w:noProof/>
                <w:color w:val="000000" w:themeColor="text1"/>
              </w:rPr>
              <w:t>Specific authorisation required from Members</w:t>
            </w:r>
          </w:p>
        </w:tc>
      </w:tr>
      <w:tr w:rsidR="00CD4006" w:rsidRPr="00CD4006" w:rsidTr="00CD4006">
        <w:tc>
          <w:tcPr>
            <w:tcW w:w="288" w:type="dxa"/>
            <w:tcBorders>
              <w:bottom w:val="single" w:sz="4" w:space="0" w:color="auto"/>
            </w:tcBorders>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Borders>
              <w:bottom w:val="single" w:sz="4" w:space="0" w:color="auto"/>
            </w:tcBorders>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Bond funds. See note 1 below.   Please put criteria in if being considered</w:t>
            </w:r>
          </w:p>
        </w:tc>
        <w:tc>
          <w:tcPr>
            <w:tcW w:w="1754" w:type="dxa"/>
            <w:tcBorders>
              <w:bottom w:val="single" w:sz="4" w:space="0" w:color="auto"/>
            </w:tcBorders>
          </w:tcPr>
          <w:p w:rsidR="00CD4006" w:rsidRPr="00CD4006" w:rsidRDefault="00E351B0" w:rsidP="00CD4006">
            <w:pPr>
              <w:spacing w:after="120"/>
              <w:jc w:val="both"/>
              <w:rPr>
                <w:rFonts w:ascii="Arial" w:hAnsi="Arial" w:cs="Arial"/>
                <w:noProof/>
                <w:color w:val="000000" w:themeColor="text1"/>
              </w:rPr>
            </w:pPr>
            <w:r>
              <w:rPr>
                <w:rFonts w:ascii="Arial" w:hAnsi="Arial" w:cs="Arial"/>
                <w:noProof/>
                <w:color w:val="000000" w:themeColor="text1"/>
              </w:rPr>
              <w:t>Specific authorisation required from Members</w:t>
            </w:r>
          </w:p>
        </w:tc>
      </w:tr>
      <w:tr w:rsidR="00CD4006" w:rsidRPr="00CD4006" w:rsidTr="00CD4006">
        <w:tc>
          <w:tcPr>
            <w:tcW w:w="288" w:type="dxa"/>
            <w:tcBorders>
              <w:bottom w:val="single" w:sz="4" w:space="0" w:color="auto"/>
            </w:tcBorders>
          </w:tcPr>
          <w:p w:rsidR="00CD4006" w:rsidRPr="00CD4006" w:rsidRDefault="00CD4006" w:rsidP="00CD4006">
            <w:pPr>
              <w:numPr>
                <w:ilvl w:val="1"/>
                <w:numId w:val="46"/>
              </w:numPr>
              <w:spacing w:after="120"/>
              <w:ind w:left="0" w:firstLine="0"/>
              <w:jc w:val="both"/>
              <w:rPr>
                <w:rFonts w:ascii="Arial" w:hAnsi="Arial" w:cs="Arial"/>
                <w:noProof/>
                <w:color w:val="000000" w:themeColor="text1"/>
              </w:rPr>
            </w:pPr>
          </w:p>
        </w:tc>
        <w:tc>
          <w:tcPr>
            <w:tcW w:w="6480" w:type="dxa"/>
            <w:tcBorders>
              <w:bottom w:val="single" w:sz="4" w:space="0" w:color="auto"/>
            </w:tcBorders>
          </w:tcPr>
          <w:p w:rsidR="00CD4006" w:rsidRPr="00CD4006" w:rsidRDefault="00CD4006" w:rsidP="00CD4006">
            <w:pPr>
              <w:spacing w:after="120"/>
              <w:jc w:val="both"/>
              <w:rPr>
                <w:rFonts w:ascii="Arial" w:hAnsi="Arial" w:cs="Arial"/>
                <w:noProof/>
                <w:color w:val="000000" w:themeColor="text1"/>
              </w:rPr>
            </w:pPr>
            <w:r w:rsidRPr="00CD4006">
              <w:rPr>
                <w:rFonts w:ascii="Arial" w:hAnsi="Arial" w:cs="Arial"/>
                <w:noProof/>
                <w:color w:val="000000" w:themeColor="text1"/>
              </w:rPr>
              <w:t>Property funds – The use of these instruments can be deemed to be capital expenditure, and as such will be an application (spending) of capital resources.  This Authority will seek guidance on the status of any fund it may consider using.</w:t>
            </w:r>
          </w:p>
        </w:tc>
        <w:tc>
          <w:tcPr>
            <w:tcW w:w="1754" w:type="dxa"/>
            <w:tcBorders>
              <w:bottom w:val="single" w:sz="4" w:space="0" w:color="auto"/>
            </w:tcBorders>
          </w:tcPr>
          <w:p w:rsidR="00CD4006" w:rsidRPr="00CD4006" w:rsidRDefault="00E351B0" w:rsidP="00CD4006">
            <w:pPr>
              <w:spacing w:after="120"/>
              <w:jc w:val="both"/>
              <w:rPr>
                <w:rFonts w:ascii="Arial" w:hAnsi="Arial" w:cs="Arial"/>
                <w:noProof/>
                <w:color w:val="000000" w:themeColor="text1"/>
              </w:rPr>
            </w:pPr>
            <w:r>
              <w:rPr>
                <w:rFonts w:ascii="Arial" w:hAnsi="Arial" w:cs="Arial"/>
                <w:noProof/>
                <w:color w:val="000000" w:themeColor="text1"/>
              </w:rPr>
              <w:t>Specific authorisation required from Members</w:t>
            </w:r>
          </w:p>
        </w:tc>
      </w:tr>
    </w:tbl>
    <w:p w:rsidR="00CD4006" w:rsidRPr="00CD4006" w:rsidRDefault="00CD4006" w:rsidP="00CD4006">
      <w:pPr>
        <w:jc w:val="both"/>
        <w:rPr>
          <w:rFonts w:ascii="Arial" w:hAnsi="Arial" w:cs="Arial"/>
          <w:noProof/>
          <w:color w:val="000000" w:themeColor="text1"/>
        </w:rPr>
      </w:pPr>
    </w:p>
    <w:p w:rsidR="00CD4006" w:rsidRPr="00CD4006" w:rsidRDefault="00CD4006" w:rsidP="00CD4006">
      <w:pPr>
        <w:jc w:val="both"/>
        <w:rPr>
          <w:rFonts w:ascii="Arial" w:hAnsi="Arial" w:cs="Arial"/>
          <w:noProof/>
          <w:color w:val="000000" w:themeColor="text1"/>
        </w:rPr>
      </w:pPr>
      <w:r w:rsidRPr="00B54304">
        <w:rPr>
          <w:rFonts w:ascii="Arial" w:hAnsi="Arial" w:cs="Arial"/>
          <w:b/>
          <w:noProof/>
          <w:color w:val="000000" w:themeColor="text1"/>
        </w:rPr>
        <w:t>NOTE 1</w:t>
      </w:r>
      <w:r w:rsidRPr="00CD4006">
        <w:rPr>
          <w:rFonts w:ascii="Arial" w:hAnsi="Arial" w:cs="Arial"/>
          <w:noProof/>
          <w:color w:val="000000" w:themeColor="text1"/>
        </w:rPr>
        <w:t xml:space="preserve">.  </w:t>
      </w:r>
      <w:r w:rsidR="00B54304">
        <w:rPr>
          <w:rFonts w:ascii="Arial" w:hAnsi="Arial" w:cs="Arial"/>
          <w:noProof/>
          <w:color w:val="000000" w:themeColor="text1"/>
        </w:rPr>
        <w:t>The Council</w:t>
      </w:r>
      <w:r w:rsidRPr="00CD4006">
        <w:rPr>
          <w:rFonts w:ascii="Arial" w:hAnsi="Arial" w:cs="Arial"/>
          <w:noProof/>
          <w:color w:val="000000" w:themeColor="text1"/>
        </w:rPr>
        <w:t xml:space="preserve"> will seek further advice on the appropriateness and associated risks with investments in these categories.</w:t>
      </w:r>
    </w:p>
    <w:p w:rsidR="00CD4006" w:rsidRPr="00CD4006" w:rsidRDefault="00CD4006" w:rsidP="00CD4006">
      <w:pPr>
        <w:jc w:val="both"/>
        <w:rPr>
          <w:rFonts w:ascii="Arial" w:hAnsi="Arial" w:cs="Arial"/>
          <w:noProof/>
          <w:color w:val="000000" w:themeColor="text1"/>
        </w:rPr>
      </w:pPr>
    </w:p>
    <w:p w:rsidR="00B54304" w:rsidRDefault="00CD4006" w:rsidP="00CD4006">
      <w:pPr>
        <w:jc w:val="both"/>
        <w:rPr>
          <w:rFonts w:ascii="Arial" w:hAnsi="Arial" w:cs="Arial"/>
          <w:noProof/>
          <w:color w:val="000000" w:themeColor="text1"/>
        </w:rPr>
      </w:pPr>
      <w:r w:rsidRPr="00CD4006">
        <w:rPr>
          <w:rFonts w:ascii="Arial" w:hAnsi="Arial" w:cs="Arial"/>
          <w:noProof/>
          <w:color w:val="000000" w:themeColor="text1"/>
        </w:rPr>
        <w:t>Within categories c and d, and in accordance with the Code, the Council has developed additional criteria to set the overall amount of monies which will be invested in these bodies.  These criteria are…… (Insert the local criteria and include the procedures for determining the maximum periods for investments.  Again include the effect of multilateral development banks and fund managers).</w:t>
      </w:r>
    </w:p>
    <w:p w:rsidR="00B54304" w:rsidRDefault="00B54304">
      <w:pPr>
        <w:spacing w:after="200" w:line="276" w:lineRule="auto"/>
        <w:rPr>
          <w:rFonts w:ascii="Arial" w:hAnsi="Arial" w:cs="Arial"/>
          <w:noProof/>
          <w:color w:val="000000" w:themeColor="text1"/>
        </w:rPr>
      </w:pPr>
      <w:r>
        <w:rPr>
          <w:rFonts w:ascii="Arial" w:hAnsi="Arial" w:cs="Arial"/>
          <w:noProof/>
          <w:color w:val="000000" w:themeColor="text1"/>
        </w:rPr>
        <w:br w:type="page"/>
      </w:r>
    </w:p>
    <w:p w:rsidR="00CD4006" w:rsidRPr="00CD4006" w:rsidRDefault="00CD4006" w:rsidP="00CD4006">
      <w:pPr>
        <w:jc w:val="both"/>
        <w:rPr>
          <w:rFonts w:ascii="Arial" w:hAnsi="Arial" w:cs="Arial"/>
          <w:noProof/>
          <w:color w:val="000000" w:themeColor="text1"/>
        </w:rPr>
      </w:pPr>
      <w:r w:rsidRPr="00CD4006">
        <w:rPr>
          <w:rFonts w:ascii="Arial" w:hAnsi="Arial" w:cs="Arial"/>
          <w:noProof/>
          <w:color w:val="000000" w:themeColor="text1"/>
        </w:rPr>
        <w:lastRenderedPageBreak/>
        <w:t xml:space="preserve">  </w:t>
      </w:r>
    </w:p>
    <w:p w:rsidR="00D6535E" w:rsidRDefault="00D6535E" w:rsidP="00D6535E">
      <w:pPr>
        <w:jc w:val="right"/>
      </w:pPr>
    </w:p>
    <w:p w:rsidR="00D6535E" w:rsidRPr="005A65DD" w:rsidRDefault="00D6535E" w:rsidP="00D6535E">
      <w:pPr>
        <w:jc w:val="right"/>
        <w:rPr>
          <w:rFonts w:ascii="Arial" w:hAnsi="Arial" w:cs="Arial"/>
          <w:b/>
          <w:bCs/>
          <w:noProof/>
          <w:color w:val="000000" w:themeColor="text1"/>
        </w:rPr>
      </w:pPr>
      <w:r w:rsidRPr="005A65DD">
        <w:rPr>
          <w:rFonts w:ascii="Arial" w:hAnsi="Arial" w:cs="Arial"/>
          <w:b/>
          <w:bCs/>
          <w:noProof/>
          <w:color w:val="000000" w:themeColor="text1"/>
        </w:rPr>
        <w:t>Appendix 4</w:t>
      </w:r>
    </w:p>
    <w:p w:rsidR="00D6535E" w:rsidRPr="00206C62" w:rsidRDefault="00D6535E" w:rsidP="00D6535E">
      <w:pPr>
        <w:tabs>
          <w:tab w:val="left" w:pos="1080"/>
          <w:tab w:val="left" w:pos="1260"/>
        </w:tabs>
        <w:ind w:left="360" w:hanging="360"/>
        <w:jc w:val="both"/>
        <w:rPr>
          <w:rFonts w:ascii="Arial" w:hAnsi="Arial" w:cs="Arial"/>
          <w:b/>
          <w:i/>
          <w:iCs/>
          <w:noProof/>
          <w:color w:val="000000" w:themeColor="text1"/>
        </w:rPr>
      </w:pPr>
      <w:r w:rsidRPr="00206C62">
        <w:rPr>
          <w:rFonts w:ascii="Arial" w:hAnsi="Arial" w:cs="Arial"/>
          <w:b/>
          <w:noProof/>
          <w:color w:val="000000" w:themeColor="text1"/>
        </w:rPr>
        <w:t xml:space="preserve">Approved </w:t>
      </w:r>
      <w:r>
        <w:rPr>
          <w:rFonts w:ascii="Arial" w:hAnsi="Arial" w:cs="Arial"/>
          <w:b/>
          <w:noProof/>
          <w:color w:val="000000" w:themeColor="text1"/>
        </w:rPr>
        <w:t>C</w:t>
      </w:r>
      <w:r w:rsidRPr="00206C62">
        <w:rPr>
          <w:rFonts w:ascii="Arial" w:hAnsi="Arial" w:cs="Arial"/>
          <w:b/>
          <w:noProof/>
          <w:color w:val="000000" w:themeColor="text1"/>
        </w:rPr>
        <w:t xml:space="preserve">ountries for </w:t>
      </w:r>
      <w:r>
        <w:rPr>
          <w:rFonts w:ascii="Arial" w:hAnsi="Arial" w:cs="Arial"/>
          <w:b/>
          <w:noProof/>
          <w:color w:val="000000" w:themeColor="text1"/>
        </w:rPr>
        <w:t>I</w:t>
      </w:r>
      <w:r w:rsidRPr="00206C62">
        <w:rPr>
          <w:rFonts w:ascii="Arial" w:hAnsi="Arial" w:cs="Arial"/>
          <w:b/>
          <w:noProof/>
          <w:color w:val="000000" w:themeColor="text1"/>
        </w:rPr>
        <w:t>nvestments</w:t>
      </w:r>
    </w:p>
    <w:p w:rsidR="00D6535E" w:rsidRPr="005623C1" w:rsidRDefault="00D6535E" w:rsidP="00D6535E">
      <w:pPr>
        <w:tabs>
          <w:tab w:val="left" w:pos="1080"/>
          <w:tab w:val="left" w:pos="1260"/>
        </w:tabs>
        <w:ind w:left="360" w:hanging="360"/>
        <w:jc w:val="both"/>
        <w:rPr>
          <w:rFonts w:ascii="Arial" w:hAnsi="Arial" w:cs="Arial"/>
          <w:iCs/>
          <w:noProof/>
          <w:color w:val="000000" w:themeColor="text1"/>
        </w:rPr>
      </w:pPr>
    </w:p>
    <w:p w:rsidR="00D6535E" w:rsidRPr="005A65DD" w:rsidRDefault="00D6535E" w:rsidP="00D6535E">
      <w:pPr>
        <w:tabs>
          <w:tab w:val="left" w:pos="1080"/>
          <w:tab w:val="left" w:pos="1260"/>
        </w:tabs>
        <w:ind w:left="360" w:hanging="360"/>
        <w:jc w:val="both"/>
        <w:rPr>
          <w:rFonts w:ascii="Arial" w:hAnsi="Arial" w:cs="Arial"/>
          <w:i/>
          <w:iCs/>
          <w:noProof/>
          <w:color w:val="000000" w:themeColor="text1"/>
        </w:rPr>
      </w:pPr>
      <w:r w:rsidRPr="005A65DD">
        <w:rPr>
          <w:rFonts w:ascii="Arial" w:hAnsi="Arial" w:cs="Arial"/>
          <w:i/>
          <w:iCs/>
          <w:noProof/>
          <w:color w:val="000000" w:themeColor="text1"/>
        </w:rPr>
        <w:t>Based on lowest available rating</w:t>
      </w:r>
    </w:p>
    <w:p w:rsidR="00D6535E" w:rsidRPr="005623C1" w:rsidRDefault="00D6535E" w:rsidP="00D6535E">
      <w:pPr>
        <w:tabs>
          <w:tab w:val="left" w:pos="1080"/>
          <w:tab w:val="left" w:pos="1260"/>
        </w:tabs>
        <w:ind w:left="360" w:hanging="360"/>
        <w:jc w:val="both"/>
        <w:rPr>
          <w:rFonts w:ascii="Arial" w:hAnsi="Arial" w:cs="Arial"/>
          <w:iCs/>
          <w:noProof/>
          <w:color w:val="000000" w:themeColor="text1"/>
        </w:rPr>
      </w:pP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r w:rsidRPr="006A64F8">
        <w:rPr>
          <w:rFonts w:ascii="Arial" w:hAnsi="Arial" w:cs="Arial"/>
          <w:noProof/>
          <w:color w:val="0D0D0D"/>
        </w:rPr>
        <w:t xml:space="preserve">AAA                     </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Australia</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Canada</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Denmark</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Germany</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Singapore</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Sweden</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Switzerland</w:t>
      </w: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r w:rsidRPr="006A64F8">
        <w:rPr>
          <w:rFonts w:ascii="Arial" w:hAnsi="Arial" w:cs="Arial"/>
          <w:noProof/>
          <w:color w:val="0D0D0D"/>
        </w:rPr>
        <w:t>AA+</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Finland</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 xml:space="preserve">Netherlands </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U.K.</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U.S.A.</w:t>
      </w: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r w:rsidRPr="006A64F8">
        <w:rPr>
          <w:rFonts w:ascii="Arial" w:hAnsi="Arial" w:cs="Arial"/>
          <w:noProof/>
          <w:color w:val="0D0D0D"/>
        </w:rPr>
        <w:t>AA</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Abu Dhabi (UAE)</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France</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Qatar</w:t>
      </w: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p>
    <w:p w:rsidR="006A64F8" w:rsidRPr="006A64F8" w:rsidRDefault="006A64F8" w:rsidP="006A64F8">
      <w:pPr>
        <w:tabs>
          <w:tab w:val="left" w:pos="1080"/>
          <w:tab w:val="left" w:pos="1260"/>
        </w:tabs>
        <w:spacing w:before="40" w:after="40"/>
        <w:ind w:left="720" w:hanging="357"/>
        <w:jc w:val="both"/>
        <w:rPr>
          <w:rFonts w:ascii="Arial" w:hAnsi="Arial" w:cs="Arial"/>
          <w:noProof/>
          <w:color w:val="0D0D0D"/>
        </w:rPr>
      </w:pPr>
      <w:r w:rsidRPr="006A64F8">
        <w:rPr>
          <w:rFonts w:ascii="Arial" w:hAnsi="Arial" w:cs="Arial"/>
          <w:noProof/>
          <w:color w:val="0D0D0D"/>
        </w:rPr>
        <w:t>AA-</w:t>
      </w:r>
    </w:p>
    <w:p w:rsidR="006A64F8" w:rsidRPr="006A64F8" w:rsidRDefault="006A64F8" w:rsidP="006A64F8">
      <w:pPr>
        <w:numPr>
          <w:ilvl w:val="0"/>
          <w:numId w:val="3"/>
        </w:numPr>
        <w:tabs>
          <w:tab w:val="left" w:pos="1260"/>
        </w:tabs>
        <w:spacing w:before="40" w:after="40"/>
        <w:ind w:hanging="357"/>
        <w:jc w:val="both"/>
        <w:rPr>
          <w:rFonts w:ascii="Arial" w:hAnsi="Arial" w:cs="Arial"/>
          <w:noProof/>
          <w:color w:val="0D0D0D"/>
        </w:rPr>
      </w:pPr>
      <w:r w:rsidRPr="006A64F8">
        <w:rPr>
          <w:rFonts w:ascii="Arial" w:hAnsi="Arial" w:cs="Arial"/>
          <w:noProof/>
          <w:color w:val="0D0D0D"/>
        </w:rPr>
        <w:t xml:space="preserve">Belgium </w:t>
      </w:r>
    </w:p>
    <w:p w:rsidR="006A64F8" w:rsidRPr="006A64F8" w:rsidRDefault="006A64F8" w:rsidP="006A64F8">
      <w:pPr>
        <w:tabs>
          <w:tab w:val="left" w:pos="1260"/>
        </w:tabs>
        <w:spacing w:before="40" w:after="40"/>
        <w:ind w:left="1077"/>
        <w:jc w:val="both"/>
        <w:rPr>
          <w:rFonts w:ascii="Arial" w:hAnsi="Arial" w:cs="Arial"/>
          <w:noProof/>
          <w:color w:val="0D0D0D"/>
        </w:rPr>
      </w:pPr>
    </w:p>
    <w:p w:rsidR="00D6535E" w:rsidRPr="007A60DA" w:rsidRDefault="00D6535E" w:rsidP="00D6535E">
      <w:pPr>
        <w:spacing w:before="40" w:after="40"/>
        <w:jc w:val="both"/>
        <w:rPr>
          <w:rFonts w:ascii="Arial" w:hAnsi="Arial" w:cs="Arial"/>
          <w:noProof/>
          <w:sz w:val="22"/>
          <w:szCs w:val="22"/>
        </w:rPr>
      </w:pPr>
    </w:p>
    <w:p w:rsidR="00D6535E" w:rsidRDefault="00D6535E" w:rsidP="00D6535E">
      <w:pPr>
        <w:rPr>
          <w:rFonts w:ascii="Arial" w:hAnsi="Arial" w:cs="Arial"/>
          <w:noProof/>
          <w:sz w:val="22"/>
          <w:szCs w:val="22"/>
        </w:rPr>
      </w:pPr>
      <w:r>
        <w:rPr>
          <w:rFonts w:ascii="Arial" w:hAnsi="Arial" w:cs="Arial"/>
          <w:noProof/>
          <w:sz w:val="22"/>
          <w:szCs w:val="22"/>
        </w:rPr>
        <w:br w:type="page"/>
      </w:r>
    </w:p>
    <w:p w:rsidR="00D6535E" w:rsidRPr="007A60DA" w:rsidRDefault="00D6535E" w:rsidP="00D6535E">
      <w:pPr>
        <w:jc w:val="right"/>
        <w:rPr>
          <w:rFonts w:ascii="Arial" w:hAnsi="Arial" w:cs="Arial"/>
          <w:b/>
          <w:noProof/>
        </w:rPr>
      </w:pPr>
      <w:r w:rsidRPr="007A60DA">
        <w:rPr>
          <w:rFonts w:ascii="Arial" w:hAnsi="Arial" w:cs="Arial"/>
          <w:b/>
          <w:noProof/>
        </w:rPr>
        <w:lastRenderedPageBreak/>
        <w:t>Appendix 5</w:t>
      </w:r>
    </w:p>
    <w:p w:rsidR="00D6535E" w:rsidRPr="007A60DA" w:rsidRDefault="00D6535E" w:rsidP="00D6535E">
      <w:pPr>
        <w:rPr>
          <w:rFonts w:ascii="Arial" w:hAnsi="Arial" w:cs="Arial"/>
          <w:b/>
        </w:rPr>
      </w:pPr>
      <w:r w:rsidRPr="007A60DA">
        <w:rPr>
          <w:rFonts w:ascii="Arial" w:hAnsi="Arial" w:cs="Arial"/>
          <w:b/>
        </w:rPr>
        <w:t xml:space="preserve">Treasury Management </w:t>
      </w:r>
      <w:r>
        <w:rPr>
          <w:rFonts w:ascii="Arial" w:hAnsi="Arial" w:cs="Arial"/>
          <w:b/>
        </w:rPr>
        <w:t>S</w:t>
      </w:r>
      <w:r w:rsidRPr="007A60DA">
        <w:rPr>
          <w:rFonts w:ascii="Arial" w:hAnsi="Arial" w:cs="Arial"/>
          <w:b/>
        </w:rPr>
        <w:t xml:space="preserve">cheme of </w:t>
      </w:r>
      <w:r>
        <w:rPr>
          <w:rFonts w:ascii="Arial" w:hAnsi="Arial" w:cs="Arial"/>
          <w:b/>
        </w:rPr>
        <w:t>D</w:t>
      </w:r>
      <w:r w:rsidRPr="007A60DA">
        <w:rPr>
          <w:rFonts w:ascii="Arial" w:hAnsi="Arial" w:cs="Arial"/>
          <w:b/>
        </w:rPr>
        <w:t>elegation</w:t>
      </w:r>
    </w:p>
    <w:p w:rsidR="00D6535E" w:rsidRPr="007A60DA" w:rsidRDefault="00D6535E" w:rsidP="00D6535E">
      <w:pPr>
        <w:rPr>
          <w:rFonts w:ascii="Arial" w:hAnsi="Arial" w:cs="Arial"/>
        </w:rPr>
      </w:pPr>
    </w:p>
    <w:p w:rsidR="00D6535E" w:rsidRDefault="00D6535E" w:rsidP="00D6535E">
      <w:pPr>
        <w:autoSpaceDE w:val="0"/>
        <w:autoSpaceDN w:val="0"/>
        <w:adjustRightInd w:val="0"/>
        <w:rPr>
          <w:rFonts w:ascii="Arial" w:hAnsi="Arial" w:cs="Arial"/>
          <w:b/>
          <w:bCs/>
          <w:color w:val="000000" w:themeColor="text1"/>
          <w:lang w:val="en-US"/>
        </w:rPr>
      </w:pPr>
      <w:r>
        <w:rPr>
          <w:rFonts w:ascii="Arial" w:hAnsi="Arial" w:cs="Arial"/>
          <w:b/>
          <w:bCs/>
          <w:color w:val="000000" w:themeColor="text1"/>
          <w:lang w:val="en-US"/>
        </w:rPr>
        <w:t>(i) Full Council</w:t>
      </w:r>
    </w:p>
    <w:p w:rsidR="00D6535E" w:rsidRPr="005A65DD" w:rsidRDefault="00D6535E" w:rsidP="00D6535E">
      <w:pPr>
        <w:autoSpaceDE w:val="0"/>
        <w:autoSpaceDN w:val="0"/>
        <w:adjustRightInd w:val="0"/>
        <w:rPr>
          <w:rFonts w:ascii="Arial" w:hAnsi="Arial" w:cs="Arial"/>
          <w:b/>
          <w:bCs/>
          <w:color w:val="000000" w:themeColor="text1"/>
          <w:lang w:val="en-US"/>
        </w:rPr>
      </w:pPr>
    </w:p>
    <w:p w:rsidR="00D6535E" w:rsidRDefault="00D6535E" w:rsidP="00D6535E">
      <w:pPr>
        <w:pStyle w:val="ListParagraph"/>
        <w:numPr>
          <w:ilvl w:val="0"/>
          <w:numId w:val="14"/>
        </w:numPr>
        <w:autoSpaceDE w:val="0"/>
        <w:autoSpaceDN w:val="0"/>
        <w:adjustRightInd w:val="0"/>
        <w:jc w:val="both"/>
        <w:rPr>
          <w:rFonts w:ascii="Arial" w:hAnsi="Arial" w:cs="Arial"/>
          <w:color w:val="000000" w:themeColor="text1"/>
          <w:lang w:val="en-US"/>
        </w:rPr>
      </w:pPr>
      <w:r w:rsidRPr="005A65DD">
        <w:rPr>
          <w:rFonts w:ascii="Arial" w:hAnsi="Arial" w:cs="Arial"/>
          <w:color w:val="000000" w:themeColor="text1"/>
          <w:lang w:val="en-US"/>
        </w:rPr>
        <w:t>receiving and reviewing reports on treasury management policies, practices and activities</w:t>
      </w:r>
      <w:r>
        <w:rPr>
          <w:rFonts w:ascii="Arial" w:hAnsi="Arial" w:cs="Arial"/>
          <w:color w:val="000000" w:themeColor="text1"/>
          <w:lang w:val="en-US"/>
        </w:rPr>
        <w:t>; and</w:t>
      </w:r>
    </w:p>
    <w:p w:rsidR="00D6535E" w:rsidRPr="00206C62" w:rsidRDefault="00D6535E" w:rsidP="00D6535E">
      <w:pPr>
        <w:autoSpaceDE w:val="0"/>
        <w:autoSpaceDN w:val="0"/>
        <w:adjustRightInd w:val="0"/>
        <w:ind w:left="360"/>
        <w:jc w:val="both"/>
        <w:rPr>
          <w:rFonts w:ascii="Arial" w:hAnsi="Arial" w:cs="Arial"/>
          <w:color w:val="000000" w:themeColor="text1"/>
          <w:lang w:val="en-US"/>
        </w:rPr>
      </w:pPr>
    </w:p>
    <w:p w:rsidR="00D6535E" w:rsidRPr="005A65DD" w:rsidRDefault="00D6535E" w:rsidP="00D6535E">
      <w:pPr>
        <w:pStyle w:val="ListParagraph"/>
        <w:numPr>
          <w:ilvl w:val="0"/>
          <w:numId w:val="14"/>
        </w:numPr>
        <w:autoSpaceDE w:val="0"/>
        <w:autoSpaceDN w:val="0"/>
        <w:adjustRightInd w:val="0"/>
        <w:jc w:val="both"/>
        <w:rPr>
          <w:rFonts w:ascii="Arial" w:hAnsi="Arial" w:cs="Arial"/>
          <w:color w:val="000000" w:themeColor="text1"/>
          <w:lang w:val="en-US"/>
        </w:rPr>
      </w:pPr>
      <w:proofErr w:type="gramStart"/>
      <w:r>
        <w:rPr>
          <w:rFonts w:ascii="Arial" w:hAnsi="Arial" w:cs="Arial"/>
          <w:color w:val="000000" w:themeColor="text1"/>
          <w:lang w:val="en-US"/>
        </w:rPr>
        <w:t>approval</w:t>
      </w:r>
      <w:proofErr w:type="gramEnd"/>
      <w:r>
        <w:rPr>
          <w:rFonts w:ascii="Arial" w:hAnsi="Arial" w:cs="Arial"/>
          <w:color w:val="000000" w:themeColor="text1"/>
          <w:lang w:val="en-US"/>
        </w:rPr>
        <w:t xml:space="preserve"> of annual strategy.</w:t>
      </w:r>
    </w:p>
    <w:p w:rsidR="00D6535E" w:rsidRPr="005A65DD" w:rsidRDefault="00D6535E" w:rsidP="00D6535E">
      <w:pPr>
        <w:autoSpaceDE w:val="0"/>
        <w:autoSpaceDN w:val="0"/>
        <w:adjustRightInd w:val="0"/>
        <w:jc w:val="both"/>
        <w:rPr>
          <w:rFonts w:ascii="Arial" w:hAnsi="Arial" w:cs="Arial"/>
          <w:b/>
          <w:bCs/>
          <w:color w:val="000000" w:themeColor="text1"/>
          <w:lang w:val="en-US"/>
        </w:rPr>
      </w:pPr>
    </w:p>
    <w:p w:rsidR="00D6535E" w:rsidRDefault="00D6535E" w:rsidP="00D6535E">
      <w:pPr>
        <w:autoSpaceDE w:val="0"/>
        <w:autoSpaceDN w:val="0"/>
        <w:adjustRightInd w:val="0"/>
        <w:jc w:val="both"/>
        <w:rPr>
          <w:rFonts w:ascii="Arial" w:hAnsi="Arial" w:cs="Arial"/>
          <w:b/>
          <w:bCs/>
          <w:color w:val="000000" w:themeColor="text1"/>
          <w:lang w:val="en-US"/>
        </w:rPr>
      </w:pPr>
      <w:r w:rsidRPr="005A65DD">
        <w:rPr>
          <w:rFonts w:ascii="Arial" w:hAnsi="Arial" w:cs="Arial"/>
          <w:b/>
          <w:bCs/>
          <w:color w:val="000000" w:themeColor="text1"/>
          <w:lang w:val="en-US"/>
        </w:rPr>
        <w:t>(ii) Cabinet</w:t>
      </w:r>
    </w:p>
    <w:p w:rsidR="00D6535E" w:rsidRPr="005A65DD" w:rsidRDefault="00D6535E" w:rsidP="00D6535E">
      <w:pPr>
        <w:autoSpaceDE w:val="0"/>
        <w:autoSpaceDN w:val="0"/>
        <w:adjustRightInd w:val="0"/>
        <w:jc w:val="both"/>
        <w:rPr>
          <w:rFonts w:ascii="Arial" w:hAnsi="Arial" w:cs="Arial"/>
          <w:b/>
          <w:bCs/>
          <w:color w:val="000000" w:themeColor="text1"/>
          <w:lang w:val="en-US"/>
        </w:rPr>
      </w:pPr>
    </w:p>
    <w:p w:rsidR="00D6535E" w:rsidRDefault="00D6535E" w:rsidP="00D6535E">
      <w:pPr>
        <w:pStyle w:val="ListParagraph"/>
        <w:numPr>
          <w:ilvl w:val="0"/>
          <w:numId w:val="15"/>
        </w:numPr>
        <w:autoSpaceDE w:val="0"/>
        <w:autoSpaceDN w:val="0"/>
        <w:adjustRightInd w:val="0"/>
        <w:jc w:val="both"/>
        <w:rPr>
          <w:rFonts w:ascii="Arial" w:hAnsi="Arial" w:cs="Arial"/>
          <w:color w:val="000000" w:themeColor="text1"/>
          <w:lang w:val="en-US"/>
        </w:rPr>
      </w:pPr>
      <w:r w:rsidRPr="005A65DD">
        <w:rPr>
          <w:rFonts w:ascii="Arial" w:hAnsi="Arial" w:cs="Arial"/>
          <w:color w:val="000000" w:themeColor="text1"/>
          <w:lang w:val="en-US"/>
        </w:rPr>
        <w:t xml:space="preserve">approval of/amendments to the </w:t>
      </w:r>
      <w:proofErr w:type="spellStart"/>
      <w:r w:rsidRPr="005A65DD">
        <w:rPr>
          <w:rFonts w:ascii="Arial" w:hAnsi="Arial" w:cs="Arial"/>
          <w:color w:val="000000" w:themeColor="text1"/>
          <w:lang w:val="en-US"/>
        </w:rPr>
        <w:t>organisation’s</w:t>
      </w:r>
      <w:proofErr w:type="spellEnd"/>
      <w:r w:rsidRPr="005A65DD">
        <w:rPr>
          <w:rFonts w:ascii="Arial" w:hAnsi="Arial" w:cs="Arial"/>
          <w:color w:val="000000" w:themeColor="text1"/>
          <w:lang w:val="en-US"/>
        </w:rPr>
        <w:t xml:space="preserve"> adopted clauses, treasury management policy statement and treasury management practices</w:t>
      </w:r>
      <w:r>
        <w:rPr>
          <w:rFonts w:ascii="Arial" w:hAnsi="Arial" w:cs="Arial"/>
          <w:color w:val="000000" w:themeColor="text1"/>
          <w:lang w:val="en-US"/>
        </w:rPr>
        <w:t>;</w:t>
      </w:r>
    </w:p>
    <w:p w:rsidR="00D6535E" w:rsidRPr="005A65DD" w:rsidRDefault="00D6535E" w:rsidP="00D6535E">
      <w:pPr>
        <w:pStyle w:val="ListParagraph"/>
        <w:autoSpaceDE w:val="0"/>
        <w:autoSpaceDN w:val="0"/>
        <w:adjustRightInd w:val="0"/>
        <w:jc w:val="both"/>
        <w:rPr>
          <w:rFonts w:ascii="Arial" w:hAnsi="Arial" w:cs="Arial"/>
          <w:color w:val="000000" w:themeColor="text1"/>
          <w:lang w:val="en-US"/>
        </w:rPr>
      </w:pPr>
    </w:p>
    <w:p w:rsidR="00D6535E" w:rsidRDefault="00D6535E" w:rsidP="00D6535E">
      <w:pPr>
        <w:pStyle w:val="ListParagraph"/>
        <w:numPr>
          <w:ilvl w:val="0"/>
          <w:numId w:val="15"/>
        </w:numPr>
        <w:autoSpaceDE w:val="0"/>
        <w:autoSpaceDN w:val="0"/>
        <w:adjustRightInd w:val="0"/>
        <w:jc w:val="both"/>
        <w:rPr>
          <w:rFonts w:ascii="Arial" w:hAnsi="Arial" w:cs="Arial"/>
          <w:color w:val="000000" w:themeColor="text1"/>
          <w:lang w:val="en-US"/>
        </w:rPr>
      </w:pPr>
      <w:r w:rsidRPr="005A65DD">
        <w:rPr>
          <w:rFonts w:ascii="Arial" w:hAnsi="Arial" w:cs="Arial"/>
          <w:color w:val="000000" w:themeColor="text1"/>
          <w:lang w:val="en-US"/>
        </w:rPr>
        <w:t>b</w:t>
      </w:r>
      <w:r>
        <w:rPr>
          <w:rFonts w:ascii="Arial" w:hAnsi="Arial" w:cs="Arial"/>
          <w:color w:val="000000" w:themeColor="text1"/>
          <w:lang w:val="en-US"/>
        </w:rPr>
        <w:t>udget consideration and approval;</w:t>
      </w:r>
    </w:p>
    <w:p w:rsidR="00D6535E" w:rsidRPr="005A65DD" w:rsidRDefault="00D6535E" w:rsidP="00D6535E">
      <w:pPr>
        <w:pStyle w:val="ListParagraph"/>
        <w:autoSpaceDE w:val="0"/>
        <w:autoSpaceDN w:val="0"/>
        <w:adjustRightInd w:val="0"/>
        <w:jc w:val="both"/>
        <w:rPr>
          <w:rFonts w:ascii="Arial" w:hAnsi="Arial" w:cs="Arial"/>
          <w:color w:val="000000" w:themeColor="text1"/>
          <w:lang w:val="en-US"/>
        </w:rPr>
      </w:pPr>
    </w:p>
    <w:p w:rsidR="00D6535E" w:rsidRDefault="00D6535E" w:rsidP="00D6535E">
      <w:pPr>
        <w:pStyle w:val="ListParagraph"/>
        <w:numPr>
          <w:ilvl w:val="0"/>
          <w:numId w:val="15"/>
        </w:numPr>
        <w:autoSpaceDE w:val="0"/>
        <w:autoSpaceDN w:val="0"/>
        <w:adjustRightInd w:val="0"/>
        <w:jc w:val="both"/>
        <w:rPr>
          <w:rFonts w:ascii="Arial" w:hAnsi="Arial" w:cs="Arial"/>
          <w:color w:val="000000" w:themeColor="text1"/>
          <w:lang w:val="en-US"/>
        </w:rPr>
      </w:pPr>
      <w:r w:rsidRPr="005A65DD">
        <w:rPr>
          <w:rFonts w:ascii="Arial" w:hAnsi="Arial" w:cs="Arial"/>
          <w:color w:val="000000" w:themeColor="text1"/>
          <w:lang w:val="en-US"/>
        </w:rPr>
        <w:t>approval of the division of responsibilities</w:t>
      </w:r>
      <w:r>
        <w:rPr>
          <w:rFonts w:ascii="Arial" w:hAnsi="Arial" w:cs="Arial"/>
          <w:color w:val="000000" w:themeColor="text1"/>
          <w:lang w:val="en-US"/>
        </w:rPr>
        <w:t>;</w:t>
      </w:r>
    </w:p>
    <w:p w:rsidR="00D6535E" w:rsidRPr="005A65DD" w:rsidRDefault="00D6535E" w:rsidP="00D6535E">
      <w:pPr>
        <w:pStyle w:val="ListParagraph"/>
        <w:autoSpaceDE w:val="0"/>
        <w:autoSpaceDN w:val="0"/>
        <w:adjustRightInd w:val="0"/>
        <w:jc w:val="both"/>
        <w:rPr>
          <w:rFonts w:ascii="Arial" w:hAnsi="Arial" w:cs="Arial"/>
          <w:color w:val="000000" w:themeColor="text1"/>
          <w:lang w:val="en-US"/>
        </w:rPr>
      </w:pPr>
    </w:p>
    <w:p w:rsidR="00D6535E" w:rsidRDefault="00D6535E" w:rsidP="00D6535E">
      <w:pPr>
        <w:pStyle w:val="ListParagraph"/>
        <w:numPr>
          <w:ilvl w:val="0"/>
          <w:numId w:val="15"/>
        </w:numPr>
        <w:autoSpaceDE w:val="0"/>
        <w:autoSpaceDN w:val="0"/>
        <w:adjustRightInd w:val="0"/>
        <w:jc w:val="both"/>
        <w:rPr>
          <w:rFonts w:ascii="Arial" w:hAnsi="Arial" w:cs="Arial"/>
          <w:color w:val="000000" w:themeColor="text1"/>
          <w:lang w:val="en-US"/>
        </w:rPr>
      </w:pPr>
      <w:r w:rsidRPr="005A65DD">
        <w:rPr>
          <w:rFonts w:ascii="Arial" w:hAnsi="Arial" w:cs="Arial"/>
          <w:color w:val="000000" w:themeColor="text1"/>
          <w:lang w:val="en-US"/>
        </w:rPr>
        <w:t>receiving and reviewing regular monitoring reports and acting on recommendations</w:t>
      </w:r>
      <w:r>
        <w:rPr>
          <w:rFonts w:ascii="Arial" w:hAnsi="Arial" w:cs="Arial"/>
          <w:color w:val="000000" w:themeColor="text1"/>
          <w:lang w:val="en-US"/>
        </w:rPr>
        <w:t>; and</w:t>
      </w:r>
    </w:p>
    <w:p w:rsidR="00D6535E" w:rsidRPr="005A65DD" w:rsidRDefault="00D6535E" w:rsidP="00D6535E">
      <w:pPr>
        <w:pStyle w:val="ListParagraph"/>
        <w:autoSpaceDE w:val="0"/>
        <w:autoSpaceDN w:val="0"/>
        <w:adjustRightInd w:val="0"/>
        <w:jc w:val="both"/>
        <w:rPr>
          <w:rFonts w:ascii="Arial" w:hAnsi="Arial" w:cs="Arial"/>
          <w:color w:val="000000" w:themeColor="text1"/>
          <w:lang w:val="en-US"/>
        </w:rPr>
      </w:pPr>
    </w:p>
    <w:p w:rsidR="00D6535E" w:rsidRPr="005A65DD" w:rsidRDefault="00D6535E" w:rsidP="00D6535E">
      <w:pPr>
        <w:pStyle w:val="ListParagraph"/>
        <w:numPr>
          <w:ilvl w:val="0"/>
          <w:numId w:val="15"/>
        </w:numPr>
        <w:autoSpaceDE w:val="0"/>
        <w:autoSpaceDN w:val="0"/>
        <w:adjustRightInd w:val="0"/>
        <w:jc w:val="both"/>
        <w:rPr>
          <w:rFonts w:ascii="Arial" w:hAnsi="Arial" w:cs="Arial"/>
          <w:color w:val="000000" w:themeColor="text1"/>
          <w:lang w:val="en-US"/>
        </w:rPr>
      </w:pPr>
      <w:proofErr w:type="gramStart"/>
      <w:r w:rsidRPr="005A65DD">
        <w:rPr>
          <w:rFonts w:ascii="Arial" w:hAnsi="Arial" w:cs="Arial"/>
          <w:color w:val="000000" w:themeColor="text1"/>
          <w:lang w:val="en-US"/>
        </w:rPr>
        <w:t>approving</w:t>
      </w:r>
      <w:proofErr w:type="gramEnd"/>
      <w:r w:rsidRPr="005A65DD">
        <w:rPr>
          <w:rFonts w:ascii="Arial" w:hAnsi="Arial" w:cs="Arial"/>
          <w:color w:val="000000" w:themeColor="text1"/>
          <w:lang w:val="en-US"/>
        </w:rPr>
        <w:t xml:space="preserve"> the selection of external service providers an</w:t>
      </w:r>
      <w:r>
        <w:rPr>
          <w:rFonts w:ascii="Arial" w:hAnsi="Arial" w:cs="Arial"/>
          <w:color w:val="000000" w:themeColor="text1"/>
          <w:lang w:val="en-US"/>
        </w:rPr>
        <w:t>d agreeing terms of appointment.</w:t>
      </w:r>
    </w:p>
    <w:p w:rsidR="00D6535E" w:rsidRPr="005A65DD" w:rsidRDefault="00D6535E" w:rsidP="00D6535E">
      <w:pPr>
        <w:autoSpaceDE w:val="0"/>
        <w:autoSpaceDN w:val="0"/>
        <w:adjustRightInd w:val="0"/>
        <w:rPr>
          <w:rFonts w:ascii="Arial" w:hAnsi="Arial" w:cs="Arial"/>
          <w:b/>
          <w:bCs/>
          <w:color w:val="000000" w:themeColor="text1"/>
          <w:lang w:val="en-US"/>
        </w:rPr>
      </w:pPr>
    </w:p>
    <w:p w:rsidR="00D6535E" w:rsidRDefault="00D6535E" w:rsidP="00D6535E">
      <w:pPr>
        <w:autoSpaceDE w:val="0"/>
        <w:autoSpaceDN w:val="0"/>
        <w:adjustRightInd w:val="0"/>
        <w:rPr>
          <w:rFonts w:ascii="Arial" w:hAnsi="Arial" w:cs="Arial"/>
          <w:b/>
          <w:bCs/>
          <w:color w:val="000000" w:themeColor="text1"/>
          <w:lang w:val="en-US"/>
        </w:rPr>
      </w:pPr>
      <w:r w:rsidRPr="005A65DD">
        <w:rPr>
          <w:rFonts w:ascii="Arial" w:hAnsi="Arial" w:cs="Arial"/>
          <w:b/>
          <w:bCs/>
          <w:color w:val="000000" w:themeColor="text1"/>
          <w:lang w:val="en-US"/>
        </w:rPr>
        <w:t xml:space="preserve">(iii) </w:t>
      </w:r>
      <w:r>
        <w:rPr>
          <w:rFonts w:ascii="Arial" w:hAnsi="Arial" w:cs="Arial"/>
          <w:b/>
          <w:bCs/>
          <w:color w:val="000000" w:themeColor="text1"/>
          <w:lang w:val="en-US"/>
        </w:rPr>
        <w:t>Audit</w:t>
      </w:r>
      <w:r w:rsidRPr="005A65DD">
        <w:rPr>
          <w:rFonts w:ascii="Arial" w:hAnsi="Arial" w:cs="Arial"/>
          <w:b/>
          <w:bCs/>
          <w:color w:val="000000" w:themeColor="text1"/>
          <w:lang w:val="en-US"/>
        </w:rPr>
        <w:t xml:space="preserve"> Committee (or successor Committee)</w:t>
      </w:r>
    </w:p>
    <w:p w:rsidR="00D6535E" w:rsidRPr="005A65DD" w:rsidRDefault="00D6535E" w:rsidP="00D6535E">
      <w:pPr>
        <w:autoSpaceDE w:val="0"/>
        <w:autoSpaceDN w:val="0"/>
        <w:adjustRightInd w:val="0"/>
        <w:rPr>
          <w:rFonts w:ascii="Arial" w:hAnsi="Arial" w:cs="Arial"/>
          <w:b/>
          <w:bCs/>
          <w:color w:val="000000" w:themeColor="text1"/>
          <w:lang w:val="en-US"/>
        </w:rPr>
      </w:pPr>
    </w:p>
    <w:p w:rsidR="00D6535E" w:rsidRPr="005A65DD" w:rsidRDefault="00D6535E" w:rsidP="00D6535E">
      <w:pPr>
        <w:pStyle w:val="ListParagraph"/>
        <w:numPr>
          <w:ilvl w:val="0"/>
          <w:numId w:val="16"/>
        </w:numPr>
        <w:autoSpaceDE w:val="0"/>
        <w:autoSpaceDN w:val="0"/>
        <w:adjustRightInd w:val="0"/>
        <w:jc w:val="both"/>
        <w:rPr>
          <w:rFonts w:ascii="Arial" w:hAnsi="Arial" w:cs="Arial"/>
          <w:color w:val="000000" w:themeColor="text1"/>
          <w:lang w:val="en-US"/>
        </w:rPr>
      </w:pPr>
      <w:proofErr w:type="gramStart"/>
      <w:r w:rsidRPr="005A65DD">
        <w:rPr>
          <w:rFonts w:ascii="Arial" w:hAnsi="Arial" w:cs="Arial"/>
          <w:color w:val="000000" w:themeColor="text1"/>
          <w:lang w:val="en-US"/>
        </w:rPr>
        <w:t>reviewing</w:t>
      </w:r>
      <w:proofErr w:type="gramEnd"/>
      <w:r w:rsidRPr="005A65DD">
        <w:rPr>
          <w:rFonts w:ascii="Arial" w:hAnsi="Arial" w:cs="Arial"/>
          <w:color w:val="000000" w:themeColor="text1"/>
          <w:lang w:val="en-US"/>
        </w:rPr>
        <w:t xml:space="preserve"> the treasury management policy and procedures and making recommen</w:t>
      </w:r>
      <w:r>
        <w:rPr>
          <w:rFonts w:ascii="Arial" w:hAnsi="Arial" w:cs="Arial"/>
          <w:color w:val="000000" w:themeColor="text1"/>
          <w:lang w:val="en-US"/>
        </w:rPr>
        <w:t>dations to the responsible body.</w:t>
      </w:r>
    </w:p>
    <w:p w:rsidR="00D6535E" w:rsidRPr="005A65DD" w:rsidRDefault="00D6535E" w:rsidP="00D6535E">
      <w:pPr>
        <w:autoSpaceDE w:val="0"/>
        <w:autoSpaceDN w:val="0"/>
        <w:adjustRightInd w:val="0"/>
        <w:ind w:left="720"/>
        <w:jc w:val="both"/>
        <w:rPr>
          <w:rFonts w:ascii="Arial" w:hAnsi="Arial" w:cs="Arial"/>
          <w:color w:val="000000" w:themeColor="text1"/>
          <w:lang w:val="en-US"/>
        </w:rPr>
      </w:pPr>
    </w:p>
    <w:p w:rsidR="00D6535E" w:rsidRDefault="00D6535E" w:rsidP="00D6535E">
      <w:pPr>
        <w:autoSpaceDE w:val="0"/>
        <w:autoSpaceDN w:val="0"/>
        <w:adjustRightInd w:val="0"/>
        <w:jc w:val="both"/>
        <w:rPr>
          <w:rFonts w:ascii="Arial" w:hAnsi="Arial" w:cs="Arial"/>
          <w:b/>
          <w:color w:val="000000" w:themeColor="text1"/>
          <w:lang w:val="en-US"/>
        </w:rPr>
      </w:pPr>
      <w:r w:rsidRPr="005A65DD">
        <w:rPr>
          <w:rFonts w:ascii="Arial" w:hAnsi="Arial" w:cs="Arial"/>
          <w:b/>
          <w:color w:val="000000" w:themeColor="text1"/>
          <w:lang w:val="en-US"/>
        </w:rPr>
        <w:t>(</w:t>
      </w:r>
      <w:proofErr w:type="gramStart"/>
      <w:r w:rsidRPr="005A65DD">
        <w:rPr>
          <w:rFonts w:ascii="Arial" w:hAnsi="Arial" w:cs="Arial"/>
          <w:b/>
          <w:color w:val="000000" w:themeColor="text1"/>
          <w:lang w:val="en-US"/>
        </w:rPr>
        <w:t>iv</w:t>
      </w:r>
      <w:proofErr w:type="gramEnd"/>
      <w:r w:rsidRPr="005A65DD">
        <w:rPr>
          <w:rFonts w:ascii="Arial" w:hAnsi="Arial" w:cs="Arial"/>
          <w:b/>
          <w:color w:val="000000" w:themeColor="text1"/>
          <w:lang w:val="en-US"/>
        </w:rPr>
        <w:t xml:space="preserve">) </w:t>
      </w:r>
      <w:r>
        <w:rPr>
          <w:rFonts w:ascii="Arial" w:hAnsi="Arial" w:cs="Arial"/>
          <w:b/>
          <w:color w:val="000000" w:themeColor="text1"/>
          <w:lang w:val="en-US"/>
        </w:rPr>
        <w:t xml:space="preserve">Executive </w:t>
      </w:r>
      <w:r w:rsidRPr="005A65DD">
        <w:rPr>
          <w:rFonts w:ascii="Arial" w:hAnsi="Arial" w:cs="Arial"/>
          <w:b/>
          <w:color w:val="000000" w:themeColor="text1"/>
          <w:lang w:val="en-US"/>
        </w:rPr>
        <w:t xml:space="preserve">Director of Resources and </w:t>
      </w:r>
      <w:r>
        <w:rPr>
          <w:rFonts w:ascii="Arial" w:hAnsi="Arial" w:cs="Arial"/>
          <w:b/>
          <w:color w:val="000000" w:themeColor="text1"/>
          <w:lang w:val="en-US"/>
        </w:rPr>
        <w:t xml:space="preserve">Service Manager for Finance and Welfare </w:t>
      </w:r>
      <w:r w:rsidRPr="005A65DD">
        <w:rPr>
          <w:rFonts w:ascii="Arial" w:hAnsi="Arial" w:cs="Arial"/>
          <w:b/>
          <w:color w:val="000000" w:themeColor="text1"/>
          <w:lang w:val="en-US"/>
        </w:rPr>
        <w:t>(Section 151 Officer)</w:t>
      </w:r>
    </w:p>
    <w:p w:rsidR="00D6535E" w:rsidRPr="005A65DD" w:rsidRDefault="00D6535E" w:rsidP="00D6535E">
      <w:pPr>
        <w:autoSpaceDE w:val="0"/>
        <w:autoSpaceDN w:val="0"/>
        <w:adjustRightInd w:val="0"/>
        <w:jc w:val="both"/>
        <w:rPr>
          <w:rFonts w:ascii="Arial" w:hAnsi="Arial" w:cs="Arial"/>
          <w:b/>
          <w:color w:val="000000" w:themeColor="text1"/>
          <w:lang w:val="en-US"/>
        </w:rPr>
      </w:pPr>
    </w:p>
    <w:p w:rsidR="00D6535E" w:rsidRDefault="00D6535E" w:rsidP="00D6535E">
      <w:pPr>
        <w:pStyle w:val="ListParagraph"/>
        <w:numPr>
          <w:ilvl w:val="0"/>
          <w:numId w:val="13"/>
        </w:numPr>
        <w:spacing w:after="180"/>
        <w:jc w:val="both"/>
        <w:rPr>
          <w:rFonts w:ascii="Arial" w:hAnsi="Arial" w:cs="Arial"/>
          <w:noProof/>
          <w:color w:val="000000" w:themeColor="text1"/>
        </w:rPr>
      </w:pPr>
      <w:r w:rsidRPr="005A65DD">
        <w:rPr>
          <w:rFonts w:ascii="Arial" w:hAnsi="Arial" w:cs="Arial"/>
          <w:noProof/>
          <w:color w:val="000000" w:themeColor="text1"/>
        </w:rPr>
        <w:t>In the event that a counterparty</w:t>
      </w:r>
      <w:r>
        <w:rPr>
          <w:rFonts w:ascii="Arial" w:hAnsi="Arial" w:cs="Arial"/>
          <w:noProof/>
          <w:color w:val="000000" w:themeColor="text1"/>
        </w:rPr>
        <w:t>,</w:t>
      </w:r>
      <w:r w:rsidRPr="005A65DD">
        <w:rPr>
          <w:rFonts w:ascii="Arial" w:hAnsi="Arial" w:cs="Arial"/>
          <w:noProof/>
          <w:color w:val="000000" w:themeColor="text1"/>
        </w:rPr>
        <w:t xml:space="preserve"> subsequent to an investment being made, falls below the minimum ratings required the following action is delegated to the </w:t>
      </w:r>
      <w:r>
        <w:rPr>
          <w:rFonts w:ascii="Arial" w:hAnsi="Arial" w:cs="Arial"/>
          <w:noProof/>
          <w:color w:val="000000" w:themeColor="text1"/>
        </w:rPr>
        <w:t xml:space="preserve">Executive </w:t>
      </w:r>
      <w:r w:rsidRPr="005A65DD">
        <w:rPr>
          <w:rFonts w:ascii="Arial" w:hAnsi="Arial" w:cs="Arial"/>
          <w:noProof/>
          <w:color w:val="000000" w:themeColor="text1"/>
        </w:rPr>
        <w:t xml:space="preserve">Director of Resources or in his absence the </w:t>
      </w:r>
      <w:r>
        <w:rPr>
          <w:rFonts w:ascii="Arial" w:hAnsi="Arial" w:cs="Arial"/>
          <w:noProof/>
          <w:color w:val="000000" w:themeColor="text1"/>
        </w:rPr>
        <w:t>Section 151 Officer;</w:t>
      </w:r>
    </w:p>
    <w:p w:rsidR="00D6535E" w:rsidRPr="005A65DD" w:rsidRDefault="00D6535E" w:rsidP="00D6535E">
      <w:pPr>
        <w:pStyle w:val="ListParagraph"/>
        <w:spacing w:after="180"/>
        <w:jc w:val="both"/>
        <w:rPr>
          <w:rFonts w:ascii="Arial" w:hAnsi="Arial" w:cs="Arial"/>
          <w:noProof/>
          <w:color w:val="000000" w:themeColor="text1"/>
        </w:rPr>
      </w:pPr>
    </w:p>
    <w:p w:rsidR="00D6535E" w:rsidRDefault="00D6535E" w:rsidP="00D6535E">
      <w:pPr>
        <w:pStyle w:val="ListParagraph"/>
        <w:numPr>
          <w:ilvl w:val="0"/>
          <w:numId w:val="13"/>
        </w:numPr>
        <w:spacing w:after="180"/>
        <w:jc w:val="both"/>
        <w:rPr>
          <w:rFonts w:ascii="Arial" w:hAnsi="Arial" w:cs="Arial"/>
          <w:noProof/>
          <w:color w:val="000000" w:themeColor="text1"/>
        </w:rPr>
      </w:pPr>
      <w:r w:rsidRPr="009B1AC6">
        <w:rPr>
          <w:rFonts w:ascii="Arial" w:hAnsi="Arial" w:cs="Arial"/>
          <w:noProof/>
          <w:color w:val="000000" w:themeColor="text1"/>
        </w:rPr>
        <w:t>Fixed term deposits</w:t>
      </w:r>
      <w:r w:rsidRPr="005A65DD">
        <w:rPr>
          <w:rFonts w:ascii="Arial" w:hAnsi="Arial" w:cs="Arial"/>
          <w:noProof/>
          <w:color w:val="000000" w:themeColor="text1"/>
        </w:rPr>
        <w:t xml:space="preserve"> – allow the investment to mature and not withdraw its funding unless advised otherwise by t</w:t>
      </w:r>
      <w:r>
        <w:rPr>
          <w:rFonts w:ascii="Arial" w:hAnsi="Arial" w:cs="Arial"/>
          <w:noProof/>
          <w:color w:val="000000" w:themeColor="text1"/>
        </w:rPr>
        <w:t>he Council’s treasury advisors; and</w:t>
      </w:r>
    </w:p>
    <w:p w:rsidR="00D6535E" w:rsidRPr="005A65DD" w:rsidRDefault="00D6535E" w:rsidP="00D6535E">
      <w:pPr>
        <w:pStyle w:val="ListParagraph"/>
        <w:spacing w:after="180"/>
        <w:jc w:val="both"/>
        <w:rPr>
          <w:rFonts w:ascii="Arial" w:hAnsi="Arial" w:cs="Arial"/>
          <w:noProof/>
          <w:color w:val="000000" w:themeColor="text1"/>
        </w:rPr>
      </w:pPr>
    </w:p>
    <w:p w:rsidR="00D6535E" w:rsidRPr="005A65DD" w:rsidRDefault="00D6535E" w:rsidP="00D6535E">
      <w:pPr>
        <w:pStyle w:val="ListParagraph"/>
        <w:numPr>
          <w:ilvl w:val="0"/>
          <w:numId w:val="13"/>
        </w:numPr>
        <w:spacing w:after="180"/>
        <w:jc w:val="both"/>
        <w:rPr>
          <w:rFonts w:ascii="Arial" w:hAnsi="Arial" w:cs="Arial"/>
          <w:noProof/>
          <w:color w:val="000000" w:themeColor="text1"/>
        </w:rPr>
      </w:pPr>
      <w:r w:rsidRPr="005A65DD">
        <w:rPr>
          <w:rFonts w:ascii="Arial" w:hAnsi="Arial" w:cs="Arial"/>
          <w:noProof/>
          <w:color w:val="000000" w:themeColor="text1"/>
        </w:rPr>
        <w:t xml:space="preserve">In all situations the </w:t>
      </w:r>
      <w:r>
        <w:rPr>
          <w:rFonts w:ascii="Arial" w:hAnsi="Arial" w:cs="Arial"/>
          <w:noProof/>
          <w:color w:val="000000" w:themeColor="text1"/>
        </w:rPr>
        <w:t>Section 151 Officer</w:t>
      </w:r>
      <w:r w:rsidRPr="005A65DD">
        <w:rPr>
          <w:rFonts w:ascii="Arial" w:hAnsi="Arial" w:cs="Arial"/>
          <w:noProof/>
          <w:color w:val="000000" w:themeColor="text1"/>
        </w:rPr>
        <w:t xml:space="preserve"> and </w:t>
      </w:r>
      <w:r>
        <w:rPr>
          <w:rFonts w:ascii="Arial" w:hAnsi="Arial" w:cs="Arial"/>
          <w:noProof/>
          <w:color w:val="000000" w:themeColor="text1"/>
        </w:rPr>
        <w:t>Executive</w:t>
      </w:r>
      <w:r w:rsidRPr="005A65DD">
        <w:rPr>
          <w:rFonts w:ascii="Arial" w:hAnsi="Arial" w:cs="Arial"/>
          <w:noProof/>
          <w:color w:val="000000" w:themeColor="text1"/>
        </w:rPr>
        <w:t xml:space="preserve"> Director of Resources will take the best course of action to protect the value of the investment based on advice received from t</w:t>
      </w:r>
      <w:r>
        <w:rPr>
          <w:rFonts w:ascii="Arial" w:hAnsi="Arial" w:cs="Arial"/>
          <w:noProof/>
          <w:color w:val="000000" w:themeColor="text1"/>
        </w:rPr>
        <w:t>he Council’s treasury advisors.</w:t>
      </w:r>
    </w:p>
    <w:p w:rsidR="00D6535E" w:rsidRPr="005A65DD" w:rsidRDefault="00D6535E" w:rsidP="00D6535E">
      <w:pPr>
        <w:autoSpaceDE w:val="0"/>
        <w:autoSpaceDN w:val="0"/>
        <w:adjustRightInd w:val="0"/>
        <w:spacing w:before="100" w:after="100"/>
        <w:rPr>
          <w:rFonts w:ascii="Arial" w:hAnsi="Arial" w:cs="Arial"/>
          <w:b/>
          <w:bCs/>
          <w:noProof/>
          <w:color w:val="000000" w:themeColor="text1"/>
        </w:rPr>
      </w:pPr>
    </w:p>
    <w:p w:rsidR="00D6535E" w:rsidRPr="00F3704E" w:rsidRDefault="00D6535E" w:rsidP="00D6535E">
      <w:pPr>
        <w:autoSpaceDE w:val="0"/>
        <w:autoSpaceDN w:val="0"/>
        <w:adjustRightInd w:val="0"/>
        <w:spacing w:before="100" w:after="100"/>
        <w:rPr>
          <w:rFonts w:ascii="Arial" w:hAnsi="Arial" w:cs="Arial"/>
          <w:b/>
          <w:bCs/>
          <w:noProof/>
          <w:color w:val="4F81BD" w:themeColor="accent1"/>
        </w:rPr>
      </w:pPr>
    </w:p>
    <w:p w:rsidR="00D6535E" w:rsidRPr="00F3704E" w:rsidRDefault="00D6535E" w:rsidP="00D6535E">
      <w:pPr>
        <w:rPr>
          <w:rFonts w:ascii="Arial" w:hAnsi="Arial" w:cs="Arial"/>
          <w:b/>
          <w:bCs/>
          <w:noProof/>
          <w:color w:val="4F81BD" w:themeColor="accent1"/>
          <w:spacing w:val="-5"/>
        </w:rPr>
      </w:pPr>
      <w:r w:rsidRPr="00F3704E">
        <w:rPr>
          <w:noProof/>
          <w:color w:val="4F81BD" w:themeColor="accent1"/>
          <w:spacing w:val="-5"/>
        </w:rPr>
        <w:br w:type="page"/>
      </w:r>
    </w:p>
    <w:p w:rsidR="00D6535E" w:rsidRPr="005623C1" w:rsidRDefault="00D6535E" w:rsidP="00D6535E">
      <w:pPr>
        <w:jc w:val="right"/>
        <w:rPr>
          <w:rFonts w:ascii="Arial" w:hAnsi="Arial" w:cs="Arial"/>
          <w:b/>
          <w:noProof/>
        </w:rPr>
      </w:pPr>
      <w:r w:rsidRPr="005623C1">
        <w:rPr>
          <w:rFonts w:ascii="Arial" w:hAnsi="Arial" w:cs="Arial"/>
          <w:b/>
          <w:noProof/>
        </w:rPr>
        <w:lastRenderedPageBreak/>
        <w:t>Appendix 6</w:t>
      </w:r>
    </w:p>
    <w:p w:rsidR="00D6535E" w:rsidRPr="005623C1" w:rsidRDefault="00D6535E" w:rsidP="00D6535E">
      <w:pPr>
        <w:rPr>
          <w:rFonts w:ascii="Arial" w:hAnsi="Arial" w:cs="Arial"/>
          <w:b/>
          <w:bCs/>
          <w:noProof/>
        </w:rPr>
      </w:pPr>
      <w:r w:rsidRPr="005623C1">
        <w:rPr>
          <w:rFonts w:ascii="Arial" w:hAnsi="Arial" w:cs="Arial"/>
          <w:b/>
          <w:noProof/>
        </w:rPr>
        <w:t>The Treasury Management Role of the Section 151 Officer</w:t>
      </w:r>
    </w:p>
    <w:p w:rsidR="00D6535E" w:rsidRPr="005623C1" w:rsidRDefault="00D6535E" w:rsidP="00D6535E">
      <w:pPr>
        <w:rPr>
          <w:rFonts w:ascii="Arial" w:hAnsi="Arial" w:cs="Arial"/>
          <w:bCs/>
          <w:noProof/>
        </w:rPr>
      </w:pPr>
    </w:p>
    <w:p w:rsidR="00D6535E" w:rsidRPr="00C12E95" w:rsidRDefault="00D6535E" w:rsidP="00D6535E">
      <w:pPr>
        <w:pStyle w:val="BodyText2"/>
        <w:autoSpaceDE/>
        <w:autoSpaceDN/>
        <w:adjustRightInd/>
        <w:ind w:left="0"/>
        <w:jc w:val="left"/>
        <w:rPr>
          <w:rFonts w:ascii="Arial" w:hAnsi="Arial" w:cs="Arial"/>
          <w:b/>
          <w:bCs/>
          <w:noProof/>
          <w:color w:val="000000" w:themeColor="text1"/>
          <w:spacing w:val="-5"/>
        </w:rPr>
      </w:pPr>
      <w:r w:rsidRPr="00C12E95">
        <w:rPr>
          <w:rFonts w:ascii="Arial" w:hAnsi="Arial" w:cs="Arial"/>
          <w:noProof/>
          <w:color w:val="000000" w:themeColor="text1"/>
          <w:spacing w:val="-5"/>
        </w:rPr>
        <w:t>The S151 (responsible) officer</w:t>
      </w:r>
      <w:r>
        <w:rPr>
          <w:rFonts w:ascii="Arial" w:hAnsi="Arial" w:cs="Arial"/>
          <w:noProof/>
          <w:color w:val="000000" w:themeColor="text1"/>
          <w:spacing w:val="-5"/>
        </w:rPr>
        <w:t xml:space="preserve"> duties include:</w:t>
      </w:r>
    </w:p>
    <w:p w:rsidR="00D6535E" w:rsidRPr="00C12E95" w:rsidRDefault="00D6535E" w:rsidP="00D6535E">
      <w:pPr>
        <w:pStyle w:val="BodyText2"/>
        <w:autoSpaceDE/>
        <w:autoSpaceDN/>
        <w:adjustRightInd/>
        <w:ind w:left="0"/>
        <w:jc w:val="left"/>
        <w:rPr>
          <w:rFonts w:ascii="Arial" w:hAnsi="Arial" w:cs="Arial"/>
          <w:b/>
          <w:bCs/>
          <w:noProof/>
          <w:color w:val="000000" w:themeColor="text1"/>
          <w:spacing w:val="-5"/>
        </w:rPr>
      </w:pPr>
    </w:p>
    <w:p w:rsidR="00D6535E" w:rsidRPr="00206C62" w:rsidRDefault="00D6535E" w:rsidP="00D6535E">
      <w:pPr>
        <w:pStyle w:val="BodyText2"/>
        <w:numPr>
          <w:ilvl w:val="0"/>
          <w:numId w:val="8"/>
        </w:numPr>
        <w:autoSpaceDE/>
        <w:autoSpaceDN/>
        <w:adjustRightInd/>
        <w:ind w:left="360"/>
        <w:rPr>
          <w:rFonts w:ascii="Arial" w:hAnsi="Arial" w:cs="Arial"/>
          <w:b/>
          <w:bCs/>
          <w:noProof/>
          <w:color w:val="000000" w:themeColor="text1"/>
          <w:spacing w:val="-5"/>
        </w:rPr>
      </w:pPr>
      <w:r w:rsidRPr="00C12E95">
        <w:rPr>
          <w:rFonts w:ascii="Arial" w:hAnsi="Arial" w:cs="Arial"/>
          <w:noProof/>
          <w:color w:val="000000" w:themeColor="text1"/>
          <w:spacing w:val="-5"/>
        </w:rPr>
        <w:t>recommending clauses, treasury management policy/practices for approval, reviewing the same regularly, and monitoring compliance</w:t>
      </w:r>
    </w:p>
    <w:p w:rsidR="00D6535E" w:rsidRPr="00C12E95" w:rsidRDefault="00D6535E" w:rsidP="00D6535E">
      <w:pPr>
        <w:pStyle w:val="BodyText2"/>
        <w:autoSpaceDE/>
        <w:autoSpaceDN/>
        <w:adjustRightInd/>
        <w:ind w:left="360" w:hanging="360"/>
        <w:rPr>
          <w:rFonts w:ascii="Arial" w:hAnsi="Arial" w:cs="Arial"/>
          <w:b/>
          <w:bCs/>
          <w:noProof/>
          <w:color w:val="000000" w:themeColor="text1"/>
          <w:spacing w:val="-5"/>
        </w:rPr>
      </w:pPr>
    </w:p>
    <w:p w:rsidR="00D6535E"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submitting regular tre</w:t>
      </w:r>
      <w:r>
        <w:rPr>
          <w:rFonts w:ascii="Arial" w:hAnsi="Arial" w:cs="Arial"/>
          <w:noProof/>
          <w:color w:val="000000" w:themeColor="text1"/>
        </w:rPr>
        <w:t>asury management policy reports</w:t>
      </w:r>
    </w:p>
    <w:p w:rsidR="00D6535E" w:rsidRPr="00C12E95" w:rsidRDefault="00D6535E" w:rsidP="00D6535E">
      <w:pPr>
        <w:autoSpaceDE w:val="0"/>
        <w:autoSpaceDN w:val="0"/>
        <w:adjustRightInd w:val="0"/>
        <w:ind w:left="360" w:hanging="360"/>
        <w:jc w:val="both"/>
        <w:rPr>
          <w:rFonts w:ascii="Arial" w:hAnsi="Arial" w:cs="Arial"/>
          <w:noProof/>
          <w:color w:val="000000" w:themeColor="text1"/>
        </w:rPr>
      </w:pPr>
    </w:p>
    <w:p w:rsidR="00D6535E"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submittin</w:t>
      </w:r>
      <w:r>
        <w:rPr>
          <w:rFonts w:ascii="Arial" w:hAnsi="Arial" w:cs="Arial"/>
          <w:noProof/>
          <w:color w:val="000000" w:themeColor="text1"/>
        </w:rPr>
        <w:t>g budgets and budget variations</w:t>
      </w:r>
    </w:p>
    <w:p w:rsidR="00D6535E" w:rsidRPr="00C12E95" w:rsidRDefault="00D6535E" w:rsidP="00D6535E">
      <w:pPr>
        <w:autoSpaceDE w:val="0"/>
        <w:autoSpaceDN w:val="0"/>
        <w:adjustRightInd w:val="0"/>
        <w:ind w:left="360" w:hanging="360"/>
        <w:jc w:val="both"/>
        <w:rPr>
          <w:rFonts w:ascii="Arial" w:hAnsi="Arial" w:cs="Arial"/>
          <w:noProof/>
          <w:color w:val="000000" w:themeColor="text1"/>
        </w:rPr>
      </w:pPr>
    </w:p>
    <w:p w:rsidR="00D6535E"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receiving and reviewing</w:t>
      </w:r>
      <w:r>
        <w:rPr>
          <w:rFonts w:ascii="Arial" w:hAnsi="Arial" w:cs="Arial"/>
          <w:noProof/>
          <w:color w:val="000000" w:themeColor="text1"/>
        </w:rPr>
        <w:t xml:space="preserve"> management information reports</w:t>
      </w:r>
    </w:p>
    <w:p w:rsidR="00D6535E" w:rsidRPr="00C12E95" w:rsidRDefault="00D6535E" w:rsidP="00D6535E">
      <w:pPr>
        <w:autoSpaceDE w:val="0"/>
        <w:autoSpaceDN w:val="0"/>
        <w:adjustRightInd w:val="0"/>
        <w:ind w:left="360" w:hanging="360"/>
        <w:jc w:val="both"/>
        <w:rPr>
          <w:rFonts w:ascii="Arial" w:hAnsi="Arial" w:cs="Arial"/>
          <w:noProof/>
          <w:color w:val="000000" w:themeColor="text1"/>
        </w:rPr>
      </w:pPr>
    </w:p>
    <w:p w:rsidR="00D6535E"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reviewing the performance of t</w:t>
      </w:r>
      <w:r>
        <w:rPr>
          <w:rFonts w:ascii="Arial" w:hAnsi="Arial" w:cs="Arial"/>
          <w:noProof/>
          <w:color w:val="000000" w:themeColor="text1"/>
        </w:rPr>
        <w:t>he treasury management function</w:t>
      </w:r>
    </w:p>
    <w:p w:rsidR="00D6535E" w:rsidRPr="00C12E95" w:rsidRDefault="00D6535E" w:rsidP="00D6535E">
      <w:pPr>
        <w:autoSpaceDE w:val="0"/>
        <w:autoSpaceDN w:val="0"/>
        <w:adjustRightInd w:val="0"/>
        <w:ind w:left="360" w:hanging="360"/>
        <w:jc w:val="both"/>
        <w:rPr>
          <w:rFonts w:ascii="Arial" w:hAnsi="Arial" w:cs="Arial"/>
          <w:noProof/>
          <w:color w:val="000000" w:themeColor="text1"/>
        </w:rPr>
      </w:pPr>
    </w:p>
    <w:p w:rsidR="00D6535E"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ensuring the adequacy of treasury management resources and skills, and the effective division of responsibilities within the treasury management</w:t>
      </w:r>
      <w:r>
        <w:rPr>
          <w:rFonts w:ascii="Arial" w:hAnsi="Arial" w:cs="Arial"/>
          <w:noProof/>
          <w:color w:val="000000" w:themeColor="text1"/>
        </w:rPr>
        <w:t xml:space="preserve"> function</w:t>
      </w:r>
    </w:p>
    <w:p w:rsidR="00D6535E" w:rsidRPr="00C12E95" w:rsidRDefault="00D6535E" w:rsidP="00D6535E">
      <w:pPr>
        <w:autoSpaceDE w:val="0"/>
        <w:autoSpaceDN w:val="0"/>
        <w:adjustRightInd w:val="0"/>
        <w:ind w:left="360" w:hanging="360"/>
        <w:jc w:val="both"/>
        <w:rPr>
          <w:rFonts w:ascii="Arial" w:hAnsi="Arial" w:cs="Arial"/>
          <w:noProof/>
          <w:color w:val="000000" w:themeColor="text1"/>
        </w:rPr>
      </w:pPr>
    </w:p>
    <w:p w:rsidR="00D6535E"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ensuring the adequacy of internal audit, a</w:t>
      </w:r>
      <w:r>
        <w:rPr>
          <w:rFonts w:ascii="Arial" w:hAnsi="Arial" w:cs="Arial"/>
          <w:noProof/>
          <w:color w:val="000000" w:themeColor="text1"/>
        </w:rPr>
        <w:t>nd liaising with external audit</w:t>
      </w:r>
    </w:p>
    <w:p w:rsidR="00D6535E" w:rsidRPr="00C12E95" w:rsidRDefault="00D6535E" w:rsidP="00D6535E">
      <w:pPr>
        <w:autoSpaceDE w:val="0"/>
        <w:autoSpaceDN w:val="0"/>
        <w:adjustRightInd w:val="0"/>
        <w:ind w:left="360" w:hanging="360"/>
        <w:jc w:val="both"/>
        <w:rPr>
          <w:rFonts w:ascii="Arial" w:hAnsi="Arial" w:cs="Arial"/>
          <w:noProof/>
          <w:color w:val="000000" w:themeColor="text1"/>
        </w:rPr>
      </w:pPr>
    </w:p>
    <w:p w:rsidR="00D6535E" w:rsidRPr="00C12E95" w:rsidRDefault="00D6535E" w:rsidP="00D6535E">
      <w:pPr>
        <w:numPr>
          <w:ilvl w:val="0"/>
          <w:numId w:val="8"/>
        </w:numPr>
        <w:autoSpaceDE w:val="0"/>
        <w:autoSpaceDN w:val="0"/>
        <w:adjustRightInd w:val="0"/>
        <w:ind w:left="360"/>
        <w:jc w:val="both"/>
        <w:rPr>
          <w:rFonts w:ascii="Arial" w:hAnsi="Arial" w:cs="Arial"/>
          <w:noProof/>
          <w:color w:val="000000" w:themeColor="text1"/>
        </w:rPr>
      </w:pPr>
      <w:r w:rsidRPr="00C12E95">
        <w:rPr>
          <w:rFonts w:ascii="Arial" w:hAnsi="Arial" w:cs="Arial"/>
          <w:noProof/>
          <w:color w:val="000000" w:themeColor="text1"/>
        </w:rPr>
        <w:t>recommending the appointment</w:t>
      </w:r>
      <w:r>
        <w:rPr>
          <w:rFonts w:ascii="Arial" w:hAnsi="Arial" w:cs="Arial"/>
          <w:noProof/>
          <w:color w:val="000000" w:themeColor="text1"/>
        </w:rPr>
        <w:t xml:space="preserve"> of external service providers</w:t>
      </w:r>
    </w:p>
    <w:p w:rsidR="00D6535E" w:rsidRPr="00C12E95" w:rsidRDefault="00D6535E" w:rsidP="00D6535E">
      <w:pPr>
        <w:ind w:left="289" w:hanging="5"/>
        <w:jc w:val="both"/>
        <w:rPr>
          <w:noProof/>
          <w:color w:val="000000" w:themeColor="text1"/>
          <w:sz w:val="22"/>
          <w:szCs w:val="22"/>
        </w:rPr>
      </w:pPr>
    </w:p>
    <w:p w:rsidR="00D6535E" w:rsidRPr="00C12E95" w:rsidRDefault="00D6535E" w:rsidP="00D6535E">
      <w:pPr>
        <w:ind w:left="289" w:hanging="5"/>
        <w:jc w:val="both"/>
        <w:rPr>
          <w:noProof/>
          <w:color w:val="000000" w:themeColor="tex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ind w:left="289" w:hanging="5"/>
        <w:jc w:val="both"/>
        <w:rPr>
          <w:noProof/>
          <w:color w:val="4F81BD" w:themeColor="accent1"/>
          <w:sz w:val="22"/>
          <w:szCs w:val="22"/>
        </w:rPr>
      </w:pPr>
    </w:p>
    <w:p w:rsidR="00D6535E" w:rsidRPr="00F3704E" w:rsidRDefault="00D6535E" w:rsidP="00D6535E">
      <w:pPr>
        <w:rPr>
          <w:color w:val="4F81BD" w:themeColor="accent1"/>
        </w:rPr>
      </w:pPr>
    </w:p>
    <w:p w:rsidR="00CD4006" w:rsidRDefault="00CD4006"/>
    <w:sectPr w:rsidR="00CD4006" w:rsidSect="00EC2A2D">
      <w:pgSz w:w="11906" w:h="16838"/>
      <w:pgMar w:top="567" w:right="1440"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0C" w:rsidRDefault="00BF5D0C">
      <w:r>
        <w:separator/>
      </w:r>
    </w:p>
  </w:endnote>
  <w:endnote w:type="continuationSeparator" w:id="0">
    <w:p w:rsidR="00BF5D0C" w:rsidRDefault="00BF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B8" w:rsidRPr="002D49D0" w:rsidRDefault="005702B8">
    <w:pPr>
      <w:rPr>
        <w:rFonts w:ascii="Arial" w:hAnsi="Arial" w:cs="Arial"/>
        <w:sz w:val="18"/>
        <w:szCs w:val="18"/>
      </w:rPr>
    </w:pPr>
    <w:r>
      <w:rPr>
        <w:rFonts w:ascii="Arial" w:hAnsi="Arial" w:cs="Arial"/>
        <w:sz w:val="18"/>
        <w:szCs w:val="18"/>
      </w:rPr>
      <w:t>cb1</w:t>
    </w:r>
    <w:r w:rsidR="00F40744">
      <w:rPr>
        <w:rFonts w:ascii="Arial" w:hAnsi="Arial" w:cs="Arial"/>
        <w:sz w:val="18"/>
        <w:szCs w:val="18"/>
      </w:rPr>
      <w:t>6</w:t>
    </w:r>
    <w:r>
      <w:rPr>
        <w:rFonts w:ascii="Arial" w:hAnsi="Arial" w:cs="Arial"/>
        <w:sz w:val="18"/>
        <w:szCs w:val="18"/>
      </w:rPr>
      <w:t>02</w:t>
    </w:r>
    <w:r w:rsidR="00F40744">
      <w:rPr>
        <w:rFonts w:ascii="Arial" w:hAnsi="Arial" w:cs="Arial"/>
        <w:sz w:val="18"/>
        <w:szCs w:val="18"/>
      </w:rPr>
      <w:t>15</w:t>
    </w:r>
    <w:r>
      <w:rPr>
        <w:rFonts w:ascii="Arial" w:hAnsi="Arial" w:cs="Arial"/>
        <w:sz w:val="18"/>
        <w:szCs w:val="18"/>
      </w:rPr>
      <w:t xml:space="preserve"> – TMSS &amp; Annual Investment Strategy</w:t>
    </w:r>
    <w:r w:rsidRPr="00670B8D">
      <w:rPr>
        <w:rFonts w:ascii="Arial" w:hAnsi="Arial" w:cs="Arial"/>
        <w:sz w:val="18"/>
        <w:szCs w:val="18"/>
      </w:rPr>
      <w:ptab w:relativeTo="margin" w:alignment="center" w:leader="none"/>
    </w:r>
    <w:r w:rsidRPr="00670B8D">
      <w:rPr>
        <w:rFonts w:ascii="Arial" w:hAnsi="Arial" w:cs="Arial"/>
      </w:rPr>
      <w:fldChar w:fldCharType="begin"/>
    </w:r>
    <w:r w:rsidRPr="00670B8D">
      <w:rPr>
        <w:rFonts w:ascii="Arial" w:hAnsi="Arial" w:cs="Arial"/>
      </w:rPr>
      <w:instrText xml:space="preserve"> PAGE   \* MERGEFORMAT </w:instrText>
    </w:r>
    <w:r w:rsidRPr="00670B8D">
      <w:rPr>
        <w:rFonts w:ascii="Arial" w:hAnsi="Arial" w:cs="Arial"/>
      </w:rPr>
      <w:fldChar w:fldCharType="separate"/>
    </w:r>
    <w:r w:rsidR="008E56F6">
      <w:rPr>
        <w:rFonts w:ascii="Arial" w:hAnsi="Arial" w:cs="Arial"/>
        <w:noProof/>
      </w:rPr>
      <w:t>13</w:t>
    </w:r>
    <w:r w:rsidRPr="00670B8D">
      <w:rPr>
        <w:rFonts w:ascii="Arial" w:hAnsi="Arial" w:cs="Arial"/>
        <w:noProof/>
      </w:rPr>
      <w:fldChar w:fldCharType="end"/>
    </w:r>
    <w:r w:rsidRPr="00670B8D">
      <w:rPr>
        <w:rFonts w:ascii="Arial" w:hAnsi="Arial" w:cs="Arial"/>
        <w:sz w:val="18"/>
        <w:szCs w:val="18"/>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B8" w:rsidRPr="00E14D2E" w:rsidRDefault="005702B8">
    <w:pPr>
      <w:pStyle w:val="Footer"/>
      <w:jc w:val="center"/>
    </w:pPr>
    <w:r>
      <w:fldChar w:fldCharType="begin"/>
    </w:r>
    <w:r>
      <w:instrText xml:space="preserve"> PAGE   \* MERGEFORMAT </w:instrText>
    </w:r>
    <w:r>
      <w:fldChar w:fldCharType="separate"/>
    </w:r>
    <w:r>
      <w:rPr>
        <w:noProof/>
      </w:rPr>
      <w:t>19</w:t>
    </w:r>
    <w:r>
      <w:rPr>
        <w:noProof/>
      </w:rPr>
      <w:fldChar w:fldCharType="end"/>
    </w:r>
  </w:p>
  <w:p w:rsidR="005702B8" w:rsidRPr="00E14D2E" w:rsidRDefault="005702B8">
    <w:pPr>
      <w:rPr>
        <w:rFonts w:ascii="Arial" w:hAnsi="Arial" w:cs="Arial"/>
        <w:sz w:val="20"/>
        <w:szCs w:val="20"/>
      </w:rPr>
    </w:pPr>
    <w:r w:rsidRPr="00E14D2E">
      <w:rPr>
        <w:rFonts w:ascii="Arial" w:hAnsi="Arial" w:cs="Arial"/>
        <w:sz w:val="20"/>
        <w:szCs w:val="20"/>
      </w:rPr>
      <w:t>cb120220 - TMSS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0C" w:rsidRDefault="00BF5D0C">
      <w:r>
        <w:separator/>
      </w:r>
    </w:p>
  </w:footnote>
  <w:footnote w:type="continuationSeparator" w:id="0">
    <w:p w:rsidR="00BF5D0C" w:rsidRDefault="00BF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B8" w:rsidRPr="006E7DEB" w:rsidRDefault="005702B8" w:rsidP="00CD40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7EAE8C"/>
    <w:lvl w:ilvl="0">
      <w:numFmt w:val="decimal"/>
      <w:lvlText w:val="*"/>
      <w:lvlJc w:val="left"/>
      <w:rPr>
        <w:rFonts w:cs="Times New Roman"/>
      </w:rPr>
    </w:lvl>
  </w:abstractNum>
  <w:abstractNum w:abstractNumId="1">
    <w:nsid w:val="01B8312D"/>
    <w:multiLevelType w:val="hybridMultilevel"/>
    <w:tmpl w:val="90245244"/>
    <w:lvl w:ilvl="0" w:tplc="BB36B262">
      <w:start w:val="1"/>
      <w:numFmt w:val="bullet"/>
      <w:lvlText w:val=""/>
      <w:lvlJc w:val="left"/>
      <w:pPr>
        <w:ind w:left="2061" w:hanging="360"/>
      </w:pPr>
      <w:rPr>
        <w:rFonts w:ascii="Symbol" w:hAnsi="Symbol" w:hint="default"/>
        <w:color w:val="005B82"/>
        <w:sz w:val="16"/>
      </w:rPr>
    </w:lvl>
    <w:lvl w:ilvl="1" w:tplc="08090003" w:tentative="1">
      <w:start w:val="1"/>
      <w:numFmt w:val="bullet"/>
      <w:lvlText w:val="o"/>
      <w:lvlJc w:val="left"/>
      <w:pPr>
        <w:ind w:left="2781" w:hanging="360"/>
      </w:pPr>
      <w:rPr>
        <w:rFonts w:ascii="Courier New" w:hAnsi="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nsid w:val="02145C4A"/>
    <w:multiLevelType w:val="hybridMultilevel"/>
    <w:tmpl w:val="90DE1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EA563B"/>
    <w:multiLevelType w:val="hybridMultilevel"/>
    <w:tmpl w:val="9C3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92AE8"/>
    <w:multiLevelType w:val="hybridMultilevel"/>
    <w:tmpl w:val="8A3C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253D96"/>
    <w:multiLevelType w:val="hybridMultilevel"/>
    <w:tmpl w:val="D7987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597719"/>
    <w:multiLevelType w:val="hybridMultilevel"/>
    <w:tmpl w:val="B1546D20"/>
    <w:lvl w:ilvl="0" w:tplc="08090001">
      <w:start w:val="1"/>
      <w:numFmt w:val="bullet"/>
      <w:lvlText w:val=""/>
      <w:lvlJc w:val="left"/>
      <w:pPr>
        <w:tabs>
          <w:tab w:val="num" w:pos="720"/>
        </w:tabs>
        <w:ind w:left="720" w:hanging="360"/>
      </w:pPr>
      <w:rPr>
        <w:rFonts w:ascii="Symbol" w:hAnsi="Symbol" w:hint="default"/>
        <w:b w:val="0"/>
        <w:i w:val="0"/>
        <w:strike w:val="0"/>
        <w:dstrike w:val="0"/>
        <w:color w:val="auto"/>
        <w:u w:val="none"/>
        <w:effect w:val="none"/>
      </w:rPr>
    </w:lvl>
    <w:lvl w:ilvl="1" w:tplc="8A06832A">
      <w:start w:val="1"/>
      <w:numFmt w:val="lowerLetter"/>
      <w:lvlText w:val="%2."/>
      <w:lvlJc w:val="left"/>
      <w:pPr>
        <w:tabs>
          <w:tab w:val="num" w:pos="1440"/>
        </w:tabs>
        <w:ind w:left="1440" w:hanging="360"/>
      </w:pPr>
      <w:rPr>
        <w:rFonts w:cs="Times New Roman"/>
        <w:color w:val="auto"/>
      </w:rPr>
    </w:lvl>
    <w:lvl w:ilvl="2" w:tplc="0409001B">
      <w:start w:val="1"/>
      <w:numFmt w:val="decimal"/>
      <w:lvlText w:val="%3)"/>
      <w:lvlJc w:val="left"/>
      <w:pPr>
        <w:tabs>
          <w:tab w:val="num" w:pos="2415"/>
        </w:tabs>
        <w:ind w:left="2415" w:hanging="435"/>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D8965C0"/>
    <w:multiLevelType w:val="hybridMultilevel"/>
    <w:tmpl w:val="6A5E27B0"/>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36" w:hanging="360"/>
      </w:pPr>
      <w:rPr>
        <w:rFonts w:ascii="Courier New" w:hAnsi="Courier New" w:hint="default"/>
      </w:rPr>
    </w:lvl>
    <w:lvl w:ilvl="2" w:tplc="08090005" w:tentative="1">
      <w:start w:val="1"/>
      <w:numFmt w:val="bullet"/>
      <w:lvlText w:val=""/>
      <w:lvlJc w:val="left"/>
      <w:pPr>
        <w:ind w:left="756" w:hanging="360"/>
      </w:pPr>
      <w:rPr>
        <w:rFonts w:ascii="Wingdings" w:hAnsi="Wingdings" w:hint="default"/>
      </w:rPr>
    </w:lvl>
    <w:lvl w:ilvl="3" w:tplc="08090001" w:tentative="1">
      <w:start w:val="1"/>
      <w:numFmt w:val="bullet"/>
      <w:lvlText w:val=""/>
      <w:lvlJc w:val="left"/>
      <w:pPr>
        <w:ind w:left="1476" w:hanging="360"/>
      </w:pPr>
      <w:rPr>
        <w:rFonts w:ascii="Symbol" w:hAnsi="Symbol" w:hint="default"/>
      </w:rPr>
    </w:lvl>
    <w:lvl w:ilvl="4" w:tplc="08090003" w:tentative="1">
      <w:start w:val="1"/>
      <w:numFmt w:val="bullet"/>
      <w:lvlText w:val="o"/>
      <w:lvlJc w:val="left"/>
      <w:pPr>
        <w:ind w:left="2196" w:hanging="360"/>
      </w:pPr>
      <w:rPr>
        <w:rFonts w:ascii="Courier New" w:hAnsi="Courier New" w:hint="default"/>
      </w:rPr>
    </w:lvl>
    <w:lvl w:ilvl="5" w:tplc="08090005" w:tentative="1">
      <w:start w:val="1"/>
      <w:numFmt w:val="bullet"/>
      <w:lvlText w:val=""/>
      <w:lvlJc w:val="left"/>
      <w:pPr>
        <w:ind w:left="2916" w:hanging="360"/>
      </w:pPr>
      <w:rPr>
        <w:rFonts w:ascii="Wingdings" w:hAnsi="Wingdings" w:hint="default"/>
      </w:rPr>
    </w:lvl>
    <w:lvl w:ilvl="6" w:tplc="08090001" w:tentative="1">
      <w:start w:val="1"/>
      <w:numFmt w:val="bullet"/>
      <w:lvlText w:val=""/>
      <w:lvlJc w:val="left"/>
      <w:pPr>
        <w:ind w:left="3636" w:hanging="360"/>
      </w:pPr>
      <w:rPr>
        <w:rFonts w:ascii="Symbol" w:hAnsi="Symbol" w:hint="default"/>
      </w:rPr>
    </w:lvl>
    <w:lvl w:ilvl="7" w:tplc="08090003" w:tentative="1">
      <w:start w:val="1"/>
      <w:numFmt w:val="bullet"/>
      <w:lvlText w:val="o"/>
      <w:lvlJc w:val="left"/>
      <w:pPr>
        <w:ind w:left="4356" w:hanging="360"/>
      </w:pPr>
      <w:rPr>
        <w:rFonts w:ascii="Courier New" w:hAnsi="Courier New" w:hint="default"/>
      </w:rPr>
    </w:lvl>
    <w:lvl w:ilvl="8" w:tplc="08090005" w:tentative="1">
      <w:start w:val="1"/>
      <w:numFmt w:val="bullet"/>
      <w:lvlText w:val=""/>
      <w:lvlJc w:val="left"/>
      <w:pPr>
        <w:ind w:left="5076" w:hanging="360"/>
      </w:pPr>
      <w:rPr>
        <w:rFonts w:ascii="Wingdings" w:hAnsi="Wingdings" w:hint="default"/>
      </w:rPr>
    </w:lvl>
  </w:abstractNum>
  <w:abstractNum w:abstractNumId="8">
    <w:nsid w:val="0E2E2944"/>
    <w:multiLevelType w:val="hybridMultilevel"/>
    <w:tmpl w:val="AC886290"/>
    <w:lvl w:ilvl="0" w:tplc="54605794">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8E79B7"/>
    <w:multiLevelType w:val="hybridMultilevel"/>
    <w:tmpl w:val="481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9C70E1"/>
    <w:multiLevelType w:val="hybridMultilevel"/>
    <w:tmpl w:val="4F46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CE4BEA"/>
    <w:multiLevelType w:val="hybridMultilevel"/>
    <w:tmpl w:val="372A8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EB534BE"/>
    <w:multiLevelType w:val="hybridMultilevel"/>
    <w:tmpl w:val="9CACF68A"/>
    <w:lvl w:ilvl="0" w:tplc="08090001">
      <w:start w:val="1"/>
      <w:numFmt w:val="bullet"/>
      <w:lvlText w:val=""/>
      <w:lvlJc w:val="left"/>
      <w:pPr>
        <w:tabs>
          <w:tab w:val="num" w:pos="720"/>
        </w:tabs>
        <w:ind w:left="720" w:hanging="360"/>
      </w:pPr>
      <w:rPr>
        <w:rFonts w:ascii="Symbol" w:hAnsi="Symbol" w:hint="default"/>
        <w:b w:val="0"/>
      </w:rPr>
    </w:lvl>
    <w:lvl w:ilvl="1" w:tplc="08090003">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lowerRoman"/>
      <w:lvlText w:val="%3."/>
      <w:lvlJc w:val="right"/>
      <w:pPr>
        <w:tabs>
          <w:tab w:val="num" w:pos="2160"/>
        </w:tabs>
        <w:ind w:left="2160" w:hanging="180"/>
      </w:pPr>
      <w:rPr>
        <w:rFonts w:cs="Times New Roman"/>
        <w:i w:val="0"/>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nsid w:val="21D800E8"/>
    <w:multiLevelType w:val="hybridMultilevel"/>
    <w:tmpl w:val="BF6C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1F566C"/>
    <w:multiLevelType w:val="hybridMultilevel"/>
    <w:tmpl w:val="67C6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1172ED"/>
    <w:multiLevelType w:val="hybridMultilevel"/>
    <w:tmpl w:val="768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202B56"/>
    <w:multiLevelType w:val="hybridMultilevel"/>
    <w:tmpl w:val="6E8A1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F6BFC"/>
    <w:multiLevelType w:val="hybridMultilevel"/>
    <w:tmpl w:val="0114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CE1ECF"/>
    <w:multiLevelType w:val="hybridMultilevel"/>
    <w:tmpl w:val="31C83EAC"/>
    <w:lvl w:ilvl="0" w:tplc="08090001">
      <w:start w:val="1"/>
      <w:numFmt w:val="bullet"/>
      <w:lvlText w:val=""/>
      <w:lvlJc w:val="left"/>
      <w:pPr>
        <w:tabs>
          <w:tab w:val="num" w:pos="1080"/>
        </w:tabs>
        <w:ind w:left="1080" w:hanging="360"/>
      </w:pPr>
      <w:rPr>
        <w:rFonts w:ascii="Symbol" w:hAnsi="Symbol" w:hint="default"/>
        <w:b w:val="0"/>
        <w:i w:val="0"/>
        <w:strike w:val="0"/>
        <w:color w:val="auto"/>
      </w:rPr>
    </w:lvl>
    <w:lvl w:ilvl="1" w:tplc="08090003">
      <w:start w:val="1"/>
      <w:numFmt w:val="lowerLetter"/>
      <w:lvlText w:val="%2."/>
      <w:lvlJc w:val="left"/>
      <w:pPr>
        <w:tabs>
          <w:tab w:val="num" w:pos="1800"/>
        </w:tabs>
        <w:ind w:left="1800" w:hanging="360"/>
      </w:pPr>
      <w:rPr>
        <w:rFonts w:cs="Times New Roman"/>
      </w:rPr>
    </w:lvl>
    <w:lvl w:ilvl="2" w:tplc="08090005" w:tentative="1">
      <w:start w:val="1"/>
      <w:numFmt w:val="lowerRoman"/>
      <w:lvlText w:val="%3."/>
      <w:lvlJc w:val="right"/>
      <w:pPr>
        <w:tabs>
          <w:tab w:val="num" w:pos="2520"/>
        </w:tabs>
        <w:ind w:left="2520" w:hanging="180"/>
      </w:pPr>
      <w:rPr>
        <w:rFonts w:cs="Times New Roman"/>
      </w:rPr>
    </w:lvl>
    <w:lvl w:ilvl="3" w:tplc="08090001" w:tentative="1">
      <w:start w:val="1"/>
      <w:numFmt w:val="decimal"/>
      <w:lvlText w:val="%4."/>
      <w:lvlJc w:val="left"/>
      <w:pPr>
        <w:tabs>
          <w:tab w:val="num" w:pos="3240"/>
        </w:tabs>
        <w:ind w:left="3240" w:hanging="360"/>
      </w:pPr>
      <w:rPr>
        <w:rFonts w:cs="Times New Roman"/>
      </w:rPr>
    </w:lvl>
    <w:lvl w:ilvl="4" w:tplc="08090003" w:tentative="1">
      <w:start w:val="1"/>
      <w:numFmt w:val="lowerLetter"/>
      <w:lvlText w:val="%5."/>
      <w:lvlJc w:val="left"/>
      <w:pPr>
        <w:tabs>
          <w:tab w:val="num" w:pos="3960"/>
        </w:tabs>
        <w:ind w:left="3960" w:hanging="360"/>
      </w:pPr>
      <w:rPr>
        <w:rFonts w:cs="Times New Roman"/>
      </w:rPr>
    </w:lvl>
    <w:lvl w:ilvl="5" w:tplc="08090005" w:tentative="1">
      <w:start w:val="1"/>
      <w:numFmt w:val="lowerRoman"/>
      <w:lvlText w:val="%6."/>
      <w:lvlJc w:val="right"/>
      <w:pPr>
        <w:tabs>
          <w:tab w:val="num" w:pos="4680"/>
        </w:tabs>
        <w:ind w:left="4680" w:hanging="180"/>
      </w:pPr>
      <w:rPr>
        <w:rFonts w:cs="Times New Roman"/>
      </w:rPr>
    </w:lvl>
    <w:lvl w:ilvl="6" w:tplc="08090001" w:tentative="1">
      <w:start w:val="1"/>
      <w:numFmt w:val="decimal"/>
      <w:lvlText w:val="%7."/>
      <w:lvlJc w:val="left"/>
      <w:pPr>
        <w:tabs>
          <w:tab w:val="num" w:pos="5400"/>
        </w:tabs>
        <w:ind w:left="5400" w:hanging="360"/>
      </w:pPr>
      <w:rPr>
        <w:rFonts w:cs="Times New Roman"/>
      </w:rPr>
    </w:lvl>
    <w:lvl w:ilvl="7" w:tplc="08090003" w:tentative="1">
      <w:start w:val="1"/>
      <w:numFmt w:val="lowerLetter"/>
      <w:lvlText w:val="%8."/>
      <w:lvlJc w:val="left"/>
      <w:pPr>
        <w:tabs>
          <w:tab w:val="num" w:pos="6120"/>
        </w:tabs>
        <w:ind w:left="6120" w:hanging="360"/>
      </w:pPr>
      <w:rPr>
        <w:rFonts w:cs="Times New Roman"/>
      </w:rPr>
    </w:lvl>
    <w:lvl w:ilvl="8" w:tplc="08090005" w:tentative="1">
      <w:start w:val="1"/>
      <w:numFmt w:val="lowerRoman"/>
      <w:lvlText w:val="%9."/>
      <w:lvlJc w:val="right"/>
      <w:pPr>
        <w:tabs>
          <w:tab w:val="num" w:pos="6840"/>
        </w:tabs>
        <w:ind w:left="6840" w:hanging="180"/>
      </w:pPr>
      <w:rPr>
        <w:rFonts w:cs="Times New Roman"/>
      </w:rPr>
    </w:lvl>
  </w:abstractNum>
  <w:abstractNum w:abstractNumId="19">
    <w:nsid w:val="2DC0607D"/>
    <w:multiLevelType w:val="hybridMultilevel"/>
    <w:tmpl w:val="E54E7D80"/>
    <w:lvl w:ilvl="0" w:tplc="08090001">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0">
    <w:nsid w:val="2F382B10"/>
    <w:multiLevelType w:val="hybridMultilevel"/>
    <w:tmpl w:val="64E05460"/>
    <w:lvl w:ilvl="0" w:tplc="C79C4E7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2F70F8"/>
    <w:multiLevelType w:val="hybridMultilevel"/>
    <w:tmpl w:val="318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BB68DD"/>
    <w:multiLevelType w:val="hybridMultilevel"/>
    <w:tmpl w:val="4F98F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75C7689"/>
    <w:multiLevelType w:val="hybridMultilevel"/>
    <w:tmpl w:val="E3942286"/>
    <w:lvl w:ilvl="0" w:tplc="E86AE7D2">
      <w:start w:val="1"/>
      <w:numFmt w:val="bullet"/>
      <w:lvlText w:val=""/>
      <w:lvlJc w:val="left"/>
      <w:pPr>
        <w:tabs>
          <w:tab w:val="num" w:pos="1077"/>
        </w:tabs>
        <w:ind w:left="1077" w:hanging="360"/>
      </w:pPr>
      <w:rPr>
        <w:rFonts w:ascii="Symbol" w:hAnsi="Symbol" w:hint="default"/>
        <w:sz w:val="24"/>
        <w:szCs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4">
    <w:nsid w:val="381C3BEC"/>
    <w:multiLevelType w:val="hybridMultilevel"/>
    <w:tmpl w:val="2826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4509E0"/>
    <w:multiLevelType w:val="hybridMultilevel"/>
    <w:tmpl w:val="2926DF36"/>
    <w:lvl w:ilvl="0" w:tplc="08090001">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06A55C9"/>
    <w:multiLevelType w:val="hybridMultilevel"/>
    <w:tmpl w:val="A7C0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683A75"/>
    <w:multiLevelType w:val="hybridMultilevel"/>
    <w:tmpl w:val="9CB68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5A04196"/>
    <w:multiLevelType w:val="multilevel"/>
    <w:tmpl w:val="A358FE96"/>
    <w:lvl w:ilvl="0">
      <w:start w:val="1"/>
      <w:numFmt w:val="decimal"/>
      <w:pStyle w:val="ChapterHeading"/>
      <w:lvlText w:val="%1"/>
      <w:lvlJc w:val="left"/>
      <w:pPr>
        <w:ind w:left="360" w:hanging="360"/>
      </w:pPr>
      <w:rPr>
        <w:rFonts w:cs="Times New Roman"/>
        <w:b/>
        <w:color w:val="auto"/>
      </w:rPr>
    </w:lvl>
    <w:lvl w:ilvl="1">
      <w:start w:val="1"/>
      <w:numFmt w:val="decimal"/>
      <w:pStyle w:val="Subheading"/>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9">
    <w:nsid w:val="47A71430"/>
    <w:multiLevelType w:val="hybridMultilevel"/>
    <w:tmpl w:val="68E48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A7421F"/>
    <w:multiLevelType w:val="hybridMultilevel"/>
    <w:tmpl w:val="D43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935E7"/>
    <w:multiLevelType w:val="hybridMultilevel"/>
    <w:tmpl w:val="1B36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174937"/>
    <w:multiLevelType w:val="hybridMultilevel"/>
    <w:tmpl w:val="0BB2151E"/>
    <w:lvl w:ilvl="0" w:tplc="FCCE0CB6">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42D098F"/>
    <w:multiLevelType w:val="hybridMultilevel"/>
    <w:tmpl w:val="D3342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629348A"/>
    <w:multiLevelType w:val="hybridMultilevel"/>
    <w:tmpl w:val="B8A6600A"/>
    <w:lvl w:ilvl="0" w:tplc="05F25CA6">
      <w:start w:val="1"/>
      <w:numFmt w:val="bullet"/>
      <w:lvlText w:val=""/>
      <w:lvlJc w:val="left"/>
      <w:pPr>
        <w:tabs>
          <w:tab w:val="num" w:pos="1080"/>
        </w:tabs>
        <w:ind w:left="1080" w:hanging="360"/>
      </w:pPr>
      <w:rPr>
        <w:rFonts w:ascii="Symbol" w:hAnsi="Symbol" w:hint="default"/>
        <w:color w:val="auto"/>
      </w:rPr>
    </w:lvl>
    <w:lvl w:ilvl="1" w:tplc="E5384D5E">
      <w:start w:val="1"/>
      <w:numFmt w:val="bullet"/>
      <w:lvlText w:val="o"/>
      <w:lvlJc w:val="left"/>
      <w:pPr>
        <w:tabs>
          <w:tab w:val="num" w:pos="1800"/>
        </w:tabs>
        <w:ind w:left="1800" w:hanging="360"/>
      </w:pPr>
      <w:rPr>
        <w:rFonts w:ascii="Courier New" w:hAnsi="Courier New" w:hint="default"/>
      </w:rPr>
    </w:lvl>
    <w:lvl w:ilvl="2" w:tplc="6344A1C0" w:tentative="1">
      <w:start w:val="1"/>
      <w:numFmt w:val="bullet"/>
      <w:lvlText w:val=""/>
      <w:lvlJc w:val="left"/>
      <w:pPr>
        <w:tabs>
          <w:tab w:val="num" w:pos="2520"/>
        </w:tabs>
        <w:ind w:left="2520" w:hanging="360"/>
      </w:pPr>
      <w:rPr>
        <w:rFonts w:ascii="Wingdings" w:hAnsi="Wingdings" w:hint="default"/>
      </w:rPr>
    </w:lvl>
    <w:lvl w:ilvl="3" w:tplc="F08CC5C2" w:tentative="1">
      <w:start w:val="1"/>
      <w:numFmt w:val="bullet"/>
      <w:lvlText w:val=""/>
      <w:lvlJc w:val="left"/>
      <w:pPr>
        <w:tabs>
          <w:tab w:val="num" w:pos="3240"/>
        </w:tabs>
        <w:ind w:left="3240" w:hanging="360"/>
      </w:pPr>
      <w:rPr>
        <w:rFonts w:ascii="Symbol" w:hAnsi="Symbol" w:hint="default"/>
      </w:rPr>
    </w:lvl>
    <w:lvl w:ilvl="4" w:tplc="1C6819E8" w:tentative="1">
      <w:start w:val="1"/>
      <w:numFmt w:val="bullet"/>
      <w:lvlText w:val="o"/>
      <w:lvlJc w:val="left"/>
      <w:pPr>
        <w:tabs>
          <w:tab w:val="num" w:pos="3960"/>
        </w:tabs>
        <w:ind w:left="3960" w:hanging="360"/>
      </w:pPr>
      <w:rPr>
        <w:rFonts w:ascii="Courier New" w:hAnsi="Courier New" w:hint="default"/>
      </w:rPr>
    </w:lvl>
    <w:lvl w:ilvl="5" w:tplc="43D22022" w:tentative="1">
      <w:start w:val="1"/>
      <w:numFmt w:val="bullet"/>
      <w:lvlText w:val=""/>
      <w:lvlJc w:val="left"/>
      <w:pPr>
        <w:tabs>
          <w:tab w:val="num" w:pos="4680"/>
        </w:tabs>
        <w:ind w:left="4680" w:hanging="360"/>
      </w:pPr>
      <w:rPr>
        <w:rFonts w:ascii="Wingdings" w:hAnsi="Wingdings" w:hint="default"/>
      </w:rPr>
    </w:lvl>
    <w:lvl w:ilvl="6" w:tplc="3204172A" w:tentative="1">
      <w:start w:val="1"/>
      <w:numFmt w:val="bullet"/>
      <w:lvlText w:val=""/>
      <w:lvlJc w:val="left"/>
      <w:pPr>
        <w:tabs>
          <w:tab w:val="num" w:pos="5400"/>
        </w:tabs>
        <w:ind w:left="5400" w:hanging="360"/>
      </w:pPr>
      <w:rPr>
        <w:rFonts w:ascii="Symbol" w:hAnsi="Symbol" w:hint="default"/>
      </w:rPr>
    </w:lvl>
    <w:lvl w:ilvl="7" w:tplc="2C169E78" w:tentative="1">
      <w:start w:val="1"/>
      <w:numFmt w:val="bullet"/>
      <w:lvlText w:val="o"/>
      <w:lvlJc w:val="left"/>
      <w:pPr>
        <w:tabs>
          <w:tab w:val="num" w:pos="6120"/>
        </w:tabs>
        <w:ind w:left="6120" w:hanging="360"/>
      </w:pPr>
      <w:rPr>
        <w:rFonts w:ascii="Courier New" w:hAnsi="Courier New" w:hint="default"/>
      </w:rPr>
    </w:lvl>
    <w:lvl w:ilvl="8" w:tplc="FF6ED214" w:tentative="1">
      <w:start w:val="1"/>
      <w:numFmt w:val="bullet"/>
      <w:lvlText w:val=""/>
      <w:lvlJc w:val="left"/>
      <w:pPr>
        <w:tabs>
          <w:tab w:val="num" w:pos="6840"/>
        </w:tabs>
        <w:ind w:left="6840" w:hanging="360"/>
      </w:pPr>
      <w:rPr>
        <w:rFonts w:ascii="Wingdings" w:hAnsi="Wingdings" w:hint="default"/>
      </w:rPr>
    </w:lvl>
  </w:abstractNum>
  <w:abstractNum w:abstractNumId="35">
    <w:nsid w:val="58881AB4"/>
    <w:multiLevelType w:val="hybridMultilevel"/>
    <w:tmpl w:val="4F248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E007A1B"/>
    <w:multiLevelType w:val="hybridMultilevel"/>
    <w:tmpl w:val="2458C6BE"/>
    <w:lvl w:ilvl="0" w:tplc="5AE0D03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2732921"/>
    <w:multiLevelType w:val="multilevel"/>
    <w:tmpl w:val="295AB7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3354473"/>
    <w:multiLevelType w:val="hybridMultilevel"/>
    <w:tmpl w:val="6FE056A6"/>
    <w:lvl w:ilvl="0" w:tplc="08090001">
      <w:start w:val="1"/>
      <w:numFmt w:val="lowerRoman"/>
      <w:lvlText w:val="%1."/>
      <w:lvlJc w:val="right"/>
      <w:pPr>
        <w:tabs>
          <w:tab w:val="num" w:pos="2160"/>
        </w:tabs>
        <w:ind w:left="2160" w:hanging="180"/>
      </w:pPr>
      <w:rPr>
        <w:rFonts w:cs="Times New Roman"/>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9">
    <w:nsid w:val="64997FB0"/>
    <w:multiLevelType w:val="hybridMultilevel"/>
    <w:tmpl w:val="624C5C16"/>
    <w:lvl w:ilvl="0" w:tplc="F73E8EF4">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77701BA"/>
    <w:multiLevelType w:val="hybridMultilevel"/>
    <w:tmpl w:val="8F308D0E"/>
    <w:lvl w:ilvl="0" w:tplc="D1B46E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9721843"/>
    <w:multiLevelType w:val="hybridMultilevel"/>
    <w:tmpl w:val="E63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DD2AB2"/>
    <w:multiLevelType w:val="hybridMultilevel"/>
    <w:tmpl w:val="66262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E891276"/>
    <w:multiLevelType w:val="hybridMultilevel"/>
    <w:tmpl w:val="DF9036E0"/>
    <w:lvl w:ilvl="0" w:tplc="4D307BB6">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nsid w:val="7FBA610D"/>
    <w:multiLevelType w:val="hybridMultilevel"/>
    <w:tmpl w:val="FDBA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
  </w:num>
  <w:num w:numId="6">
    <w:abstractNumId w:val="33"/>
  </w:num>
  <w:num w:numId="7">
    <w:abstractNumId w:val="22"/>
  </w:num>
  <w:num w:numId="8">
    <w:abstractNumId w:val="17"/>
  </w:num>
  <w:num w:numId="9">
    <w:abstractNumId w:val="32"/>
  </w:num>
  <w:num w:numId="10">
    <w:abstractNumId w:val="36"/>
  </w:num>
  <w:num w:numId="11">
    <w:abstractNumId w:val="3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
  </w:num>
  <w:num w:numId="15">
    <w:abstractNumId w:val="3"/>
  </w:num>
  <w:num w:numId="16">
    <w:abstractNumId w:val="10"/>
  </w:num>
  <w:num w:numId="17">
    <w:abstractNumId w:val="6"/>
  </w:num>
  <w:num w:numId="18">
    <w:abstractNumId w:val="0"/>
    <w:lvlOverride w:ilvl="0">
      <w:lvl w:ilvl="0">
        <w:start w:val="1"/>
        <w:numFmt w:val="bullet"/>
        <w:lvlText w:val=""/>
        <w:legacy w:legacy="1" w:legacySpace="0" w:legacyIndent="284"/>
        <w:lvlJc w:val="left"/>
        <w:pPr>
          <w:ind w:left="1004" w:hanging="284"/>
        </w:pPr>
        <w:rPr>
          <w:rFonts w:ascii="Symbol" w:hAnsi="Symbol" w:hint="default"/>
          <w:sz w:val="16"/>
        </w:rPr>
      </w:lvl>
    </w:lvlOverride>
  </w:num>
  <w:num w:numId="19">
    <w:abstractNumId w:val="1"/>
  </w:num>
  <w:num w:numId="20">
    <w:abstractNumId w:val="16"/>
  </w:num>
  <w:num w:numId="21">
    <w:abstractNumId w:val="24"/>
  </w:num>
  <w:num w:numId="22">
    <w:abstractNumId w:val="28"/>
  </w:num>
  <w:num w:numId="23">
    <w:abstractNumId w:val="37"/>
  </w:num>
  <w:num w:numId="24">
    <w:abstractNumId w:val="7"/>
  </w:num>
  <w:num w:numId="25">
    <w:abstractNumId w:val="20"/>
  </w:num>
  <w:num w:numId="26">
    <w:abstractNumId w:val="19"/>
  </w:num>
  <w:num w:numId="27">
    <w:abstractNumId w:val="42"/>
  </w:num>
  <w:num w:numId="28">
    <w:abstractNumId w:val="35"/>
  </w:num>
  <w:num w:numId="29">
    <w:abstractNumId w:val="27"/>
  </w:num>
  <w:num w:numId="30">
    <w:abstractNumId w:val="29"/>
  </w:num>
  <w:num w:numId="31">
    <w:abstractNumId w:val="31"/>
  </w:num>
  <w:num w:numId="32">
    <w:abstractNumId w:val="41"/>
  </w:num>
  <w:num w:numId="33">
    <w:abstractNumId w:val="9"/>
  </w:num>
  <w:num w:numId="34">
    <w:abstractNumId w:val="15"/>
  </w:num>
  <w:num w:numId="35">
    <w:abstractNumId w:val="44"/>
  </w:num>
  <w:num w:numId="36">
    <w:abstractNumId w:val="14"/>
  </w:num>
  <w:num w:numId="37">
    <w:abstractNumId w:val="5"/>
  </w:num>
  <w:num w:numId="38">
    <w:abstractNumId w:val="26"/>
  </w:num>
  <w:num w:numId="39">
    <w:abstractNumId w:val="13"/>
  </w:num>
  <w:num w:numId="40">
    <w:abstractNumId w:val="21"/>
  </w:num>
  <w:num w:numId="41">
    <w:abstractNumId w:val="8"/>
  </w:num>
  <w:num w:numId="42">
    <w:abstractNumId w:val="12"/>
  </w:num>
  <w:num w:numId="43">
    <w:abstractNumId w:val="38"/>
  </w:num>
  <w:num w:numId="44">
    <w:abstractNumId w:val="34"/>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5E"/>
    <w:rsid w:val="00010D87"/>
    <w:rsid w:val="000524CC"/>
    <w:rsid w:val="000E48BA"/>
    <w:rsid w:val="000F3617"/>
    <w:rsid w:val="001137E2"/>
    <w:rsid w:val="00291A33"/>
    <w:rsid w:val="002C3234"/>
    <w:rsid w:val="002F3B33"/>
    <w:rsid w:val="003524E0"/>
    <w:rsid w:val="003E6BFC"/>
    <w:rsid w:val="003F2B88"/>
    <w:rsid w:val="004E6CFE"/>
    <w:rsid w:val="005702B8"/>
    <w:rsid w:val="005C004E"/>
    <w:rsid w:val="005F7B24"/>
    <w:rsid w:val="00624BF7"/>
    <w:rsid w:val="006250AC"/>
    <w:rsid w:val="0062597D"/>
    <w:rsid w:val="00664E0D"/>
    <w:rsid w:val="006A64F8"/>
    <w:rsid w:val="006B3A95"/>
    <w:rsid w:val="00752831"/>
    <w:rsid w:val="00763585"/>
    <w:rsid w:val="008A14DC"/>
    <w:rsid w:val="008E56F6"/>
    <w:rsid w:val="009568E6"/>
    <w:rsid w:val="009717E4"/>
    <w:rsid w:val="00AE0336"/>
    <w:rsid w:val="00B12674"/>
    <w:rsid w:val="00B54304"/>
    <w:rsid w:val="00B817F0"/>
    <w:rsid w:val="00BF5D0C"/>
    <w:rsid w:val="00C316E9"/>
    <w:rsid w:val="00CD4006"/>
    <w:rsid w:val="00D52A4C"/>
    <w:rsid w:val="00D630D1"/>
    <w:rsid w:val="00D6535E"/>
    <w:rsid w:val="00D8108B"/>
    <w:rsid w:val="00E351B0"/>
    <w:rsid w:val="00EA2543"/>
    <w:rsid w:val="00EC2A2D"/>
    <w:rsid w:val="00F4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6535E"/>
    <w:pPr>
      <w:keepNext/>
      <w:outlineLvl w:val="0"/>
    </w:pPr>
    <w:rPr>
      <w:b/>
      <w:bCs/>
    </w:rPr>
  </w:style>
  <w:style w:type="paragraph" w:styleId="Heading2">
    <w:name w:val="heading 2"/>
    <w:basedOn w:val="Normal"/>
    <w:next w:val="Normal"/>
    <w:link w:val="Heading2Char"/>
    <w:uiPriority w:val="99"/>
    <w:qFormat/>
    <w:rsid w:val="00D6535E"/>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D6535E"/>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D6535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6535E"/>
    <w:pPr>
      <w:keepNext/>
      <w:tabs>
        <w:tab w:val="left" w:pos="1418"/>
      </w:tabs>
      <w:ind w:left="1418"/>
      <w:outlineLvl w:val="4"/>
    </w:pPr>
    <w:rPr>
      <w:rFonts w:ascii="Calibri" w:hAnsi="Calibri"/>
      <w:b/>
      <w:bCs/>
      <w:i/>
      <w:iCs/>
      <w:sz w:val="26"/>
      <w:szCs w:val="26"/>
    </w:rPr>
  </w:style>
  <w:style w:type="paragraph" w:styleId="Heading6">
    <w:name w:val="heading 6"/>
    <w:basedOn w:val="Normal"/>
    <w:next w:val="Normal"/>
    <w:link w:val="Heading6Char"/>
    <w:uiPriority w:val="99"/>
    <w:qFormat/>
    <w:rsid w:val="00D6535E"/>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35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D6535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D6535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D6535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D6535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6535E"/>
    <w:rPr>
      <w:rFonts w:ascii="Calibri" w:eastAsia="Times New Roman" w:hAnsi="Calibri" w:cs="Times New Roman"/>
      <w:b/>
      <w:bCs/>
      <w:sz w:val="20"/>
      <w:szCs w:val="20"/>
    </w:rPr>
  </w:style>
  <w:style w:type="paragraph" w:styleId="BodyText">
    <w:name w:val="Body Text"/>
    <w:basedOn w:val="Normal"/>
    <w:link w:val="BodyTextChar"/>
    <w:uiPriority w:val="99"/>
    <w:rsid w:val="00D6535E"/>
  </w:style>
  <w:style w:type="character" w:customStyle="1" w:styleId="BodyTextChar">
    <w:name w:val="Body Text Char"/>
    <w:basedOn w:val="DefaultParagraphFont"/>
    <w:link w:val="BodyText"/>
    <w:uiPriority w:val="99"/>
    <w:rsid w:val="00D6535E"/>
    <w:rPr>
      <w:rFonts w:ascii="Times New Roman" w:eastAsia="Times New Roman" w:hAnsi="Times New Roman" w:cs="Times New Roman"/>
      <w:sz w:val="24"/>
      <w:szCs w:val="24"/>
    </w:rPr>
  </w:style>
  <w:style w:type="paragraph" w:styleId="BodyText3">
    <w:name w:val="Body Text 3"/>
    <w:basedOn w:val="Normal"/>
    <w:link w:val="BodyText3Char"/>
    <w:uiPriority w:val="99"/>
    <w:rsid w:val="00D6535E"/>
    <w:pPr>
      <w:spacing w:after="120"/>
    </w:pPr>
    <w:rPr>
      <w:sz w:val="16"/>
      <w:szCs w:val="16"/>
    </w:rPr>
  </w:style>
  <w:style w:type="character" w:customStyle="1" w:styleId="BodyText3Char">
    <w:name w:val="Body Text 3 Char"/>
    <w:basedOn w:val="DefaultParagraphFont"/>
    <w:link w:val="BodyText3"/>
    <w:uiPriority w:val="99"/>
    <w:rsid w:val="00D6535E"/>
    <w:rPr>
      <w:rFonts w:ascii="Times New Roman" w:eastAsia="Times New Roman" w:hAnsi="Times New Roman" w:cs="Times New Roman"/>
      <w:sz w:val="16"/>
      <w:szCs w:val="16"/>
    </w:rPr>
  </w:style>
  <w:style w:type="paragraph" w:styleId="BodyText2">
    <w:name w:val="Body Text 2"/>
    <w:basedOn w:val="Normal"/>
    <w:link w:val="BodyText2Char"/>
    <w:uiPriority w:val="99"/>
    <w:rsid w:val="00D6535E"/>
    <w:pPr>
      <w:autoSpaceDE w:val="0"/>
      <w:autoSpaceDN w:val="0"/>
      <w:adjustRightInd w:val="0"/>
      <w:ind w:left="720"/>
      <w:jc w:val="both"/>
    </w:pPr>
  </w:style>
  <w:style w:type="character" w:customStyle="1" w:styleId="BodyText2Char">
    <w:name w:val="Body Text 2 Char"/>
    <w:basedOn w:val="DefaultParagraphFont"/>
    <w:link w:val="BodyText2"/>
    <w:uiPriority w:val="99"/>
    <w:rsid w:val="00D6535E"/>
    <w:rPr>
      <w:rFonts w:ascii="Times New Roman" w:eastAsia="Times New Roman" w:hAnsi="Times New Roman" w:cs="Times New Roman"/>
      <w:sz w:val="24"/>
      <w:szCs w:val="24"/>
    </w:rPr>
  </w:style>
  <w:style w:type="paragraph" w:styleId="Header">
    <w:name w:val="header"/>
    <w:basedOn w:val="Normal"/>
    <w:link w:val="HeaderChar"/>
    <w:uiPriority w:val="99"/>
    <w:rsid w:val="00D6535E"/>
    <w:pPr>
      <w:tabs>
        <w:tab w:val="center" w:pos="4153"/>
        <w:tab w:val="right" w:pos="8306"/>
      </w:tabs>
    </w:pPr>
  </w:style>
  <w:style w:type="character" w:customStyle="1" w:styleId="HeaderChar">
    <w:name w:val="Header Char"/>
    <w:basedOn w:val="DefaultParagraphFont"/>
    <w:link w:val="Header"/>
    <w:uiPriority w:val="99"/>
    <w:rsid w:val="00D6535E"/>
    <w:rPr>
      <w:rFonts w:ascii="Times New Roman" w:eastAsia="Times New Roman" w:hAnsi="Times New Roman" w:cs="Times New Roman"/>
      <w:sz w:val="24"/>
      <w:szCs w:val="24"/>
    </w:rPr>
  </w:style>
  <w:style w:type="paragraph" w:styleId="Footer">
    <w:name w:val="footer"/>
    <w:basedOn w:val="Normal"/>
    <w:link w:val="FooterChar"/>
    <w:uiPriority w:val="99"/>
    <w:rsid w:val="00D6535E"/>
    <w:pPr>
      <w:tabs>
        <w:tab w:val="center" w:pos="4153"/>
        <w:tab w:val="right" w:pos="8306"/>
      </w:tabs>
    </w:pPr>
  </w:style>
  <w:style w:type="character" w:customStyle="1" w:styleId="FooterChar">
    <w:name w:val="Footer Char"/>
    <w:basedOn w:val="DefaultParagraphFont"/>
    <w:link w:val="Footer"/>
    <w:uiPriority w:val="99"/>
    <w:rsid w:val="00D6535E"/>
    <w:rPr>
      <w:rFonts w:ascii="Times New Roman" w:eastAsia="Times New Roman" w:hAnsi="Times New Roman" w:cs="Times New Roman"/>
      <w:sz w:val="24"/>
      <w:szCs w:val="24"/>
    </w:rPr>
  </w:style>
  <w:style w:type="paragraph" w:customStyle="1" w:styleId="FooterAssetFinanceflyers">
    <w:name w:val="Footer (Asset Finance flyers)"/>
    <w:basedOn w:val="Normal"/>
    <w:uiPriority w:val="99"/>
    <w:rsid w:val="00D6535E"/>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styleId="PageNumber">
    <w:name w:val="page number"/>
    <w:basedOn w:val="DefaultParagraphFont"/>
    <w:uiPriority w:val="99"/>
    <w:rsid w:val="00D6535E"/>
    <w:rPr>
      <w:rFonts w:cs="Times New Roman"/>
    </w:rPr>
  </w:style>
  <w:style w:type="character" w:styleId="Hyperlink">
    <w:name w:val="Hyperlink"/>
    <w:basedOn w:val="DefaultParagraphFont"/>
    <w:uiPriority w:val="99"/>
    <w:rsid w:val="00D6535E"/>
    <w:rPr>
      <w:rFonts w:cs="Times New Roman"/>
      <w:color w:val="0000FF"/>
      <w:u w:val="single"/>
    </w:rPr>
  </w:style>
  <w:style w:type="character" w:styleId="FollowedHyperlink">
    <w:name w:val="FollowedHyperlink"/>
    <w:basedOn w:val="DefaultParagraphFont"/>
    <w:uiPriority w:val="99"/>
    <w:rsid w:val="00D6535E"/>
    <w:rPr>
      <w:rFonts w:cs="Times New Roman"/>
      <w:color w:val="800080"/>
      <w:u w:val="single"/>
    </w:rPr>
  </w:style>
  <w:style w:type="character" w:styleId="Emphasis">
    <w:name w:val="Emphasis"/>
    <w:basedOn w:val="DefaultParagraphFont"/>
    <w:uiPriority w:val="99"/>
    <w:qFormat/>
    <w:rsid w:val="00D6535E"/>
    <w:rPr>
      <w:rFonts w:cs="Times New Roman"/>
      <w:i/>
    </w:rPr>
  </w:style>
  <w:style w:type="paragraph" w:styleId="BalloonText">
    <w:name w:val="Balloon Text"/>
    <w:basedOn w:val="Normal"/>
    <w:link w:val="BalloonTextChar"/>
    <w:uiPriority w:val="99"/>
    <w:semiHidden/>
    <w:rsid w:val="00D6535E"/>
    <w:rPr>
      <w:sz w:val="2"/>
    </w:rPr>
  </w:style>
  <w:style w:type="character" w:customStyle="1" w:styleId="BalloonTextChar">
    <w:name w:val="Balloon Text Char"/>
    <w:basedOn w:val="DefaultParagraphFont"/>
    <w:link w:val="BalloonText"/>
    <w:uiPriority w:val="99"/>
    <w:semiHidden/>
    <w:rsid w:val="00D6535E"/>
    <w:rPr>
      <w:rFonts w:ascii="Times New Roman" w:eastAsia="Times New Roman" w:hAnsi="Times New Roman" w:cs="Times New Roman"/>
      <w:sz w:val="2"/>
      <w:szCs w:val="24"/>
    </w:rPr>
  </w:style>
  <w:style w:type="character" w:customStyle="1" w:styleId="normaltext1">
    <w:name w:val="normaltext1"/>
    <w:uiPriority w:val="99"/>
    <w:rsid w:val="00D6535E"/>
    <w:rPr>
      <w:rFonts w:ascii="Arial" w:hAnsi="Arial"/>
      <w:color w:val="666666"/>
      <w:sz w:val="13"/>
    </w:rPr>
  </w:style>
  <w:style w:type="character" w:customStyle="1" w:styleId="enquiry1">
    <w:name w:val="enquiry1"/>
    <w:uiPriority w:val="99"/>
    <w:rsid w:val="00D6535E"/>
    <w:rPr>
      <w:rFonts w:ascii="Verdana" w:hAnsi="Verdana"/>
      <w:color w:val="333366"/>
      <w:sz w:val="15"/>
      <w:u w:val="none"/>
      <w:effect w:val="none"/>
    </w:rPr>
  </w:style>
  <w:style w:type="character" w:customStyle="1" w:styleId="emailstyle16">
    <w:name w:val="emailstyle16"/>
    <w:uiPriority w:val="99"/>
    <w:semiHidden/>
    <w:rsid w:val="00D6535E"/>
    <w:rPr>
      <w:rFonts w:ascii="Arial" w:hAnsi="Arial"/>
      <w:color w:val="000000"/>
      <w:sz w:val="20"/>
    </w:rPr>
  </w:style>
  <w:style w:type="character" w:customStyle="1" w:styleId="emailstyle18">
    <w:name w:val="emailstyle18"/>
    <w:uiPriority w:val="99"/>
    <w:semiHidden/>
    <w:rsid w:val="00D6535E"/>
    <w:rPr>
      <w:rFonts w:ascii="Arial" w:hAnsi="Arial"/>
      <w:color w:val="000080"/>
      <w:sz w:val="20"/>
    </w:rPr>
  </w:style>
  <w:style w:type="table" w:styleId="TableGrid">
    <w:name w:val="Table Grid"/>
    <w:basedOn w:val="TableNormal"/>
    <w:uiPriority w:val="99"/>
    <w:rsid w:val="00D653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6535E"/>
    <w:pPr>
      <w:spacing w:after="120" w:line="480" w:lineRule="auto"/>
      <w:ind w:left="283"/>
    </w:pPr>
  </w:style>
  <w:style w:type="character" w:customStyle="1" w:styleId="BodyTextIndent2Char">
    <w:name w:val="Body Text Indent 2 Char"/>
    <w:basedOn w:val="DefaultParagraphFont"/>
    <w:link w:val="BodyTextIndent2"/>
    <w:uiPriority w:val="99"/>
    <w:rsid w:val="00D6535E"/>
    <w:rPr>
      <w:rFonts w:ascii="Times New Roman" w:eastAsia="Times New Roman" w:hAnsi="Times New Roman" w:cs="Times New Roman"/>
      <w:sz w:val="24"/>
      <w:szCs w:val="24"/>
    </w:rPr>
  </w:style>
  <w:style w:type="character" w:customStyle="1" w:styleId="lculf">
    <w:name w:val="lculf"/>
    <w:uiPriority w:val="99"/>
    <w:semiHidden/>
    <w:rsid w:val="00D6535E"/>
    <w:rPr>
      <w:rFonts w:ascii="Arial" w:hAnsi="Arial"/>
      <w:color w:val="auto"/>
      <w:sz w:val="20"/>
    </w:rPr>
  </w:style>
  <w:style w:type="paragraph" w:styleId="NormalWeb">
    <w:name w:val="Normal (Web)"/>
    <w:basedOn w:val="Normal"/>
    <w:uiPriority w:val="99"/>
    <w:rsid w:val="00D6535E"/>
    <w:pPr>
      <w:spacing w:before="100" w:beforeAutospacing="1" w:after="100" w:afterAutospacing="1"/>
    </w:pPr>
    <w:rPr>
      <w:lang w:eastAsia="en-GB"/>
    </w:rPr>
  </w:style>
  <w:style w:type="paragraph" w:styleId="ListParagraph">
    <w:name w:val="List Paragraph"/>
    <w:basedOn w:val="Normal"/>
    <w:uiPriority w:val="99"/>
    <w:qFormat/>
    <w:rsid w:val="00D6535E"/>
    <w:pPr>
      <w:ind w:left="720"/>
      <w:contextualSpacing/>
    </w:pPr>
  </w:style>
  <w:style w:type="paragraph" w:styleId="PlainText">
    <w:name w:val="Plain Text"/>
    <w:basedOn w:val="Normal"/>
    <w:link w:val="PlainTextChar"/>
    <w:uiPriority w:val="99"/>
    <w:rsid w:val="00D6535E"/>
    <w:rPr>
      <w:rFonts w:ascii="Consolas" w:hAnsi="Consolas"/>
      <w:sz w:val="21"/>
      <w:szCs w:val="21"/>
    </w:rPr>
  </w:style>
  <w:style w:type="character" w:customStyle="1" w:styleId="PlainTextChar">
    <w:name w:val="Plain Text Char"/>
    <w:basedOn w:val="DefaultParagraphFont"/>
    <w:link w:val="PlainText"/>
    <w:uiPriority w:val="99"/>
    <w:rsid w:val="00D6535E"/>
    <w:rPr>
      <w:rFonts w:ascii="Consolas" w:eastAsia="Times New Roman" w:hAnsi="Consolas" w:cs="Times New Roman"/>
      <w:sz w:val="21"/>
      <w:szCs w:val="21"/>
    </w:rPr>
  </w:style>
  <w:style w:type="paragraph" w:customStyle="1" w:styleId="ChapterHeading">
    <w:name w:val="Chapter Heading"/>
    <w:basedOn w:val="Normal"/>
    <w:uiPriority w:val="99"/>
    <w:semiHidden/>
    <w:rsid w:val="00D6535E"/>
    <w:pPr>
      <w:pageBreakBefore/>
      <w:numPr>
        <w:numId w:val="12"/>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D6535E"/>
    <w:pPr>
      <w:numPr>
        <w:ilvl w:val="1"/>
        <w:numId w:val="12"/>
      </w:numPr>
      <w:spacing w:before="270" w:after="180"/>
      <w:jc w:val="both"/>
    </w:pPr>
    <w:rPr>
      <w:rFonts w:ascii="Arial" w:hAnsi="Arial" w:cs="Arial"/>
      <w:b/>
      <w:noProof/>
      <w:sz w:val="22"/>
      <w:szCs w:val="22"/>
    </w:rPr>
  </w:style>
  <w:style w:type="character" w:customStyle="1" w:styleId="subheadChar">
    <w:name w:val="subhead Char"/>
    <w:basedOn w:val="DefaultParagraphFont"/>
    <w:link w:val="subhead"/>
    <w:uiPriority w:val="99"/>
    <w:locked/>
    <w:rsid w:val="00D6535E"/>
    <w:rPr>
      <w:rFonts w:ascii="Arial" w:hAnsi="Arial" w:cs="Arial"/>
      <w:b/>
      <w:noProof/>
      <w:sz w:val="20"/>
      <w:szCs w:val="20"/>
    </w:rPr>
  </w:style>
  <w:style w:type="paragraph" w:customStyle="1" w:styleId="subhead">
    <w:name w:val="subhead"/>
    <w:basedOn w:val="Subheading"/>
    <w:link w:val="subheadChar"/>
    <w:uiPriority w:val="99"/>
    <w:rsid w:val="00D6535E"/>
    <w:rPr>
      <w:rFonts w:eastAsiaTheme="minorHAnsi"/>
      <w:sz w:val="20"/>
      <w:szCs w:val="20"/>
    </w:rPr>
  </w:style>
  <w:style w:type="paragraph" w:customStyle="1" w:styleId="Default">
    <w:name w:val="Default"/>
    <w:rsid w:val="00D6535E"/>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body">
    <w:name w:val="body"/>
    <w:basedOn w:val="Normal"/>
    <w:link w:val="bodyChar"/>
    <w:uiPriority w:val="99"/>
    <w:rsid w:val="00D6535E"/>
    <w:pPr>
      <w:jc w:val="both"/>
    </w:pPr>
    <w:rPr>
      <w:rFonts w:ascii="Arial" w:hAnsi="Arial" w:cs="Arial"/>
      <w:noProof/>
      <w:spacing w:val="-5"/>
      <w:sz w:val="22"/>
      <w:szCs w:val="22"/>
    </w:rPr>
  </w:style>
  <w:style w:type="character" w:customStyle="1" w:styleId="bodyChar">
    <w:name w:val="body Char"/>
    <w:basedOn w:val="DefaultParagraphFont"/>
    <w:link w:val="body"/>
    <w:uiPriority w:val="99"/>
    <w:locked/>
    <w:rsid w:val="00D6535E"/>
    <w:rPr>
      <w:rFonts w:ascii="Arial" w:eastAsia="Times New Roman" w:hAnsi="Arial" w:cs="Arial"/>
      <w:noProof/>
      <w:spacing w:val="-5"/>
    </w:rPr>
  </w:style>
  <w:style w:type="paragraph" w:customStyle="1" w:styleId="introduction">
    <w:name w:val="introduction"/>
    <w:basedOn w:val="Normal"/>
    <w:uiPriority w:val="99"/>
    <w:rsid w:val="00D6535E"/>
    <w:pPr>
      <w:spacing w:before="100" w:beforeAutospacing="1" w:after="100" w:afterAutospacing="1"/>
    </w:pPr>
    <w:rPr>
      <w:lang w:val="en-US"/>
    </w:rPr>
  </w:style>
  <w:style w:type="paragraph" w:styleId="NoSpacing">
    <w:name w:val="No Spacing"/>
    <w:uiPriority w:val="1"/>
    <w:qFormat/>
    <w:rsid w:val="00D6535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6535E"/>
    <w:pPr>
      <w:keepNext/>
      <w:outlineLvl w:val="0"/>
    </w:pPr>
    <w:rPr>
      <w:b/>
      <w:bCs/>
    </w:rPr>
  </w:style>
  <w:style w:type="paragraph" w:styleId="Heading2">
    <w:name w:val="heading 2"/>
    <w:basedOn w:val="Normal"/>
    <w:next w:val="Normal"/>
    <w:link w:val="Heading2Char"/>
    <w:uiPriority w:val="99"/>
    <w:qFormat/>
    <w:rsid w:val="00D6535E"/>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D6535E"/>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D6535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6535E"/>
    <w:pPr>
      <w:keepNext/>
      <w:tabs>
        <w:tab w:val="left" w:pos="1418"/>
      </w:tabs>
      <w:ind w:left="1418"/>
      <w:outlineLvl w:val="4"/>
    </w:pPr>
    <w:rPr>
      <w:rFonts w:ascii="Calibri" w:hAnsi="Calibri"/>
      <w:b/>
      <w:bCs/>
      <w:i/>
      <w:iCs/>
      <w:sz w:val="26"/>
      <w:szCs w:val="26"/>
    </w:rPr>
  </w:style>
  <w:style w:type="paragraph" w:styleId="Heading6">
    <w:name w:val="heading 6"/>
    <w:basedOn w:val="Normal"/>
    <w:next w:val="Normal"/>
    <w:link w:val="Heading6Char"/>
    <w:uiPriority w:val="99"/>
    <w:qFormat/>
    <w:rsid w:val="00D6535E"/>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35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D6535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D6535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D6535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D6535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6535E"/>
    <w:rPr>
      <w:rFonts w:ascii="Calibri" w:eastAsia="Times New Roman" w:hAnsi="Calibri" w:cs="Times New Roman"/>
      <w:b/>
      <w:bCs/>
      <w:sz w:val="20"/>
      <w:szCs w:val="20"/>
    </w:rPr>
  </w:style>
  <w:style w:type="paragraph" w:styleId="BodyText">
    <w:name w:val="Body Text"/>
    <w:basedOn w:val="Normal"/>
    <w:link w:val="BodyTextChar"/>
    <w:uiPriority w:val="99"/>
    <w:rsid w:val="00D6535E"/>
  </w:style>
  <w:style w:type="character" w:customStyle="1" w:styleId="BodyTextChar">
    <w:name w:val="Body Text Char"/>
    <w:basedOn w:val="DefaultParagraphFont"/>
    <w:link w:val="BodyText"/>
    <w:uiPriority w:val="99"/>
    <w:rsid w:val="00D6535E"/>
    <w:rPr>
      <w:rFonts w:ascii="Times New Roman" w:eastAsia="Times New Roman" w:hAnsi="Times New Roman" w:cs="Times New Roman"/>
      <w:sz w:val="24"/>
      <w:szCs w:val="24"/>
    </w:rPr>
  </w:style>
  <w:style w:type="paragraph" w:styleId="BodyText3">
    <w:name w:val="Body Text 3"/>
    <w:basedOn w:val="Normal"/>
    <w:link w:val="BodyText3Char"/>
    <w:uiPriority w:val="99"/>
    <w:rsid w:val="00D6535E"/>
    <w:pPr>
      <w:spacing w:after="120"/>
    </w:pPr>
    <w:rPr>
      <w:sz w:val="16"/>
      <w:szCs w:val="16"/>
    </w:rPr>
  </w:style>
  <w:style w:type="character" w:customStyle="1" w:styleId="BodyText3Char">
    <w:name w:val="Body Text 3 Char"/>
    <w:basedOn w:val="DefaultParagraphFont"/>
    <w:link w:val="BodyText3"/>
    <w:uiPriority w:val="99"/>
    <w:rsid w:val="00D6535E"/>
    <w:rPr>
      <w:rFonts w:ascii="Times New Roman" w:eastAsia="Times New Roman" w:hAnsi="Times New Roman" w:cs="Times New Roman"/>
      <w:sz w:val="16"/>
      <w:szCs w:val="16"/>
    </w:rPr>
  </w:style>
  <w:style w:type="paragraph" w:styleId="BodyText2">
    <w:name w:val="Body Text 2"/>
    <w:basedOn w:val="Normal"/>
    <w:link w:val="BodyText2Char"/>
    <w:uiPriority w:val="99"/>
    <w:rsid w:val="00D6535E"/>
    <w:pPr>
      <w:autoSpaceDE w:val="0"/>
      <w:autoSpaceDN w:val="0"/>
      <w:adjustRightInd w:val="0"/>
      <w:ind w:left="720"/>
      <w:jc w:val="both"/>
    </w:pPr>
  </w:style>
  <w:style w:type="character" w:customStyle="1" w:styleId="BodyText2Char">
    <w:name w:val="Body Text 2 Char"/>
    <w:basedOn w:val="DefaultParagraphFont"/>
    <w:link w:val="BodyText2"/>
    <w:uiPriority w:val="99"/>
    <w:rsid w:val="00D6535E"/>
    <w:rPr>
      <w:rFonts w:ascii="Times New Roman" w:eastAsia="Times New Roman" w:hAnsi="Times New Roman" w:cs="Times New Roman"/>
      <w:sz w:val="24"/>
      <w:szCs w:val="24"/>
    </w:rPr>
  </w:style>
  <w:style w:type="paragraph" w:styleId="Header">
    <w:name w:val="header"/>
    <w:basedOn w:val="Normal"/>
    <w:link w:val="HeaderChar"/>
    <w:uiPriority w:val="99"/>
    <w:rsid w:val="00D6535E"/>
    <w:pPr>
      <w:tabs>
        <w:tab w:val="center" w:pos="4153"/>
        <w:tab w:val="right" w:pos="8306"/>
      </w:tabs>
    </w:pPr>
  </w:style>
  <w:style w:type="character" w:customStyle="1" w:styleId="HeaderChar">
    <w:name w:val="Header Char"/>
    <w:basedOn w:val="DefaultParagraphFont"/>
    <w:link w:val="Header"/>
    <w:uiPriority w:val="99"/>
    <w:rsid w:val="00D6535E"/>
    <w:rPr>
      <w:rFonts w:ascii="Times New Roman" w:eastAsia="Times New Roman" w:hAnsi="Times New Roman" w:cs="Times New Roman"/>
      <w:sz w:val="24"/>
      <w:szCs w:val="24"/>
    </w:rPr>
  </w:style>
  <w:style w:type="paragraph" w:styleId="Footer">
    <w:name w:val="footer"/>
    <w:basedOn w:val="Normal"/>
    <w:link w:val="FooterChar"/>
    <w:uiPriority w:val="99"/>
    <w:rsid w:val="00D6535E"/>
    <w:pPr>
      <w:tabs>
        <w:tab w:val="center" w:pos="4153"/>
        <w:tab w:val="right" w:pos="8306"/>
      </w:tabs>
    </w:pPr>
  </w:style>
  <w:style w:type="character" w:customStyle="1" w:styleId="FooterChar">
    <w:name w:val="Footer Char"/>
    <w:basedOn w:val="DefaultParagraphFont"/>
    <w:link w:val="Footer"/>
    <w:uiPriority w:val="99"/>
    <w:rsid w:val="00D6535E"/>
    <w:rPr>
      <w:rFonts w:ascii="Times New Roman" w:eastAsia="Times New Roman" w:hAnsi="Times New Roman" w:cs="Times New Roman"/>
      <w:sz w:val="24"/>
      <w:szCs w:val="24"/>
    </w:rPr>
  </w:style>
  <w:style w:type="paragraph" w:customStyle="1" w:styleId="FooterAssetFinanceflyers">
    <w:name w:val="Footer (Asset Finance flyers)"/>
    <w:basedOn w:val="Normal"/>
    <w:uiPriority w:val="99"/>
    <w:rsid w:val="00D6535E"/>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styleId="PageNumber">
    <w:name w:val="page number"/>
    <w:basedOn w:val="DefaultParagraphFont"/>
    <w:uiPriority w:val="99"/>
    <w:rsid w:val="00D6535E"/>
    <w:rPr>
      <w:rFonts w:cs="Times New Roman"/>
    </w:rPr>
  </w:style>
  <w:style w:type="character" w:styleId="Hyperlink">
    <w:name w:val="Hyperlink"/>
    <w:basedOn w:val="DefaultParagraphFont"/>
    <w:uiPriority w:val="99"/>
    <w:rsid w:val="00D6535E"/>
    <w:rPr>
      <w:rFonts w:cs="Times New Roman"/>
      <w:color w:val="0000FF"/>
      <w:u w:val="single"/>
    </w:rPr>
  </w:style>
  <w:style w:type="character" w:styleId="FollowedHyperlink">
    <w:name w:val="FollowedHyperlink"/>
    <w:basedOn w:val="DefaultParagraphFont"/>
    <w:uiPriority w:val="99"/>
    <w:rsid w:val="00D6535E"/>
    <w:rPr>
      <w:rFonts w:cs="Times New Roman"/>
      <w:color w:val="800080"/>
      <w:u w:val="single"/>
    </w:rPr>
  </w:style>
  <w:style w:type="character" w:styleId="Emphasis">
    <w:name w:val="Emphasis"/>
    <w:basedOn w:val="DefaultParagraphFont"/>
    <w:uiPriority w:val="99"/>
    <w:qFormat/>
    <w:rsid w:val="00D6535E"/>
    <w:rPr>
      <w:rFonts w:cs="Times New Roman"/>
      <w:i/>
    </w:rPr>
  </w:style>
  <w:style w:type="paragraph" w:styleId="BalloonText">
    <w:name w:val="Balloon Text"/>
    <w:basedOn w:val="Normal"/>
    <w:link w:val="BalloonTextChar"/>
    <w:uiPriority w:val="99"/>
    <w:semiHidden/>
    <w:rsid w:val="00D6535E"/>
    <w:rPr>
      <w:sz w:val="2"/>
    </w:rPr>
  </w:style>
  <w:style w:type="character" w:customStyle="1" w:styleId="BalloonTextChar">
    <w:name w:val="Balloon Text Char"/>
    <w:basedOn w:val="DefaultParagraphFont"/>
    <w:link w:val="BalloonText"/>
    <w:uiPriority w:val="99"/>
    <w:semiHidden/>
    <w:rsid w:val="00D6535E"/>
    <w:rPr>
      <w:rFonts w:ascii="Times New Roman" w:eastAsia="Times New Roman" w:hAnsi="Times New Roman" w:cs="Times New Roman"/>
      <w:sz w:val="2"/>
      <w:szCs w:val="24"/>
    </w:rPr>
  </w:style>
  <w:style w:type="character" w:customStyle="1" w:styleId="normaltext1">
    <w:name w:val="normaltext1"/>
    <w:uiPriority w:val="99"/>
    <w:rsid w:val="00D6535E"/>
    <w:rPr>
      <w:rFonts w:ascii="Arial" w:hAnsi="Arial"/>
      <w:color w:val="666666"/>
      <w:sz w:val="13"/>
    </w:rPr>
  </w:style>
  <w:style w:type="character" w:customStyle="1" w:styleId="enquiry1">
    <w:name w:val="enquiry1"/>
    <w:uiPriority w:val="99"/>
    <w:rsid w:val="00D6535E"/>
    <w:rPr>
      <w:rFonts w:ascii="Verdana" w:hAnsi="Verdana"/>
      <w:color w:val="333366"/>
      <w:sz w:val="15"/>
      <w:u w:val="none"/>
      <w:effect w:val="none"/>
    </w:rPr>
  </w:style>
  <w:style w:type="character" w:customStyle="1" w:styleId="emailstyle16">
    <w:name w:val="emailstyle16"/>
    <w:uiPriority w:val="99"/>
    <w:semiHidden/>
    <w:rsid w:val="00D6535E"/>
    <w:rPr>
      <w:rFonts w:ascii="Arial" w:hAnsi="Arial"/>
      <w:color w:val="000000"/>
      <w:sz w:val="20"/>
    </w:rPr>
  </w:style>
  <w:style w:type="character" w:customStyle="1" w:styleId="emailstyle18">
    <w:name w:val="emailstyle18"/>
    <w:uiPriority w:val="99"/>
    <w:semiHidden/>
    <w:rsid w:val="00D6535E"/>
    <w:rPr>
      <w:rFonts w:ascii="Arial" w:hAnsi="Arial"/>
      <w:color w:val="000080"/>
      <w:sz w:val="20"/>
    </w:rPr>
  </w:style>
  <w:style w:type="table" w:styleId="TableGrid">
    <w:name w:val="Table Grid"/>
    <w:basedOn w:val="TableNormal"/>
    <w:uiPriority w:val="99"/>
    <w:rsid w:val="00D653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6535E"/>
    <w:pPr>
      <w:spacing w:after="120" w:line="480" w:lineRule="auto"/>
      <w:ind w:left="283"/>
    </w:pPr>
  </w:style>
  <w:style w:type="character" w:customStyle="1" w:styleId="BodyTextIndent2Char">
    <w:name w:val="Body Text Indent 2 Char"/>
    <w:basedOn w:val="DefaultParagraphFont"/>
    <w:link w:val="BodyTextIndent2"/>
    <w:uiPriority w:val="99"/>
    <w:rsid w:val="00D6535E"/>
    <w:rPr>
      <w:rFonts w:ascii="Times New Roman" w:eastAsia="Times New Roman" w:hAnsi="Times New Roman" w:cs="Times New Roman"/>
      <w:sz w:val="24"/>
      <w:szCs w:val="24"/>
    </w:rPr>
  </w:style>
  <w:style w:type="character" w:customStyle="1" w:styleId="lculf">
    <w:name w:val="lculf"/>
    <w:uiPriority w:val="99"/>
    <w:semiHidden/>
    <w:rsid w:val="00D6535E"/>
    <w:rPr>
      <w:rFonts w:ascii="Arial" w:hAnsi="Arial"/>
      <w:color w:val="auto"/>
      <w:sz w:val="20"/>
    </w:rPr>
  </w:style>
  <w:style w:type="paragraph" w:styleId="NormalWeb">
    <w:name w:val="Normal (Web)"/>
    <w:basedOn w:val="Normal"/>
    <w:uiPriority w:val="99"/>
    <w:rsid w:val="00D6535E"/>
    <w:pPr>
      <w:spacing w:before="100" w:beforeAutospacing="1" w:after="100" w:afterAutospacing="1"/>
    </w:pPr>
    <w:rPr>
      <w:lang w:eastAsia="en-GB"/>
    </w:rPr>
  </w:style>
  <w:style w:type="paragraph" w:styleId="ListParagraph">
    <w:name w:val="List Paragraph"/>
    <w:basedOn w:val="Normal"/>
    <w:uiPriority w:val="99"/>
    <w:qFormat/>
    <w:rsid w:val="00D6535E"/>
    <w:pPr>
      <w:ind w:left="720"/>
      <w:contextualSpacing/>
    </w:pPr>
  </w:style>
  <w:style w:type="paragraph" w:styleId="PlainText">
    <w:name w:val="Plain Text"/>
    <w:basedOn w:val="Normal"/>
    <w:link w:val="PlainTextChar"/>
    <w:uiPriority w:val="99"/>
    <w:rsid w:val="00D6535E"/>
    <w:rPr>
      <w:rFonts w:ascii="Consolas" w:hAnsi="Consolas"/>
      <w:sz w:val="21"/>
      <w:szCs w:val="21"/>
    </w:rPr>
  </w:style>
  <w:style w:type="character" w:customStyle="1" w:styleId="PlainTextChar">
    <w:name w:val="Plain Text Char"/>
    <w:basedOn w:val="DefaultParagraphFont"/>
    <w:link w:val="PlainText"/>
    <w:uiPriority w:val="99"/>
    <w:rsid w:val="00D6535E"/>
    <w:rPr>
      <w:rFonts w:ascii="Consolas" w:eastAsia="Times New Roman" w:hAnsi="Consolas" w:cs="Times New Roman"/>
      <w:sz w:val="21"/>
      <w:szCs w:val="21"/>
    </w:rPr>
  </w:style>
  <w:style w:type="paragraph" w:customStyle="1" w:styleId="ChapterHeading">
    <w:name w:val="Chapter Heading"/>
    <w:basedOn w:val="Normal"/>
    <w:uiPriority w:val="99"/>
    <w:semiHidden/>
    <w:rsid w:val="00D6535E"/>
    <w:pPr>
      <w:pageBreakBefore/>
      <w:numPr>
        <w:numId w:val="12"/>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D6535E"/>
    <w:pPr>
      <w:numPr>
        <w:ilvl w:val="1"/>
        <w:numId w:val="12"/>
      </w:numPr>
      <w:spacing w:before="270" w:after="180"/>
      <w:jc w:val="both"/>
    </w:pPr>
    <w:rPr>
      <w:rFonts w:ascii="Arial" w:hAnsi="Arial" w:cs="Arial"/>
      <w:b/>
      <w:noProof/>
      <w:sz w:val="22"/>
      <w:szCs w:val="22"/>
    </w:rPr>
  </w:style>
  <w:style w:type="character" w:customStyle="1" w:styleId="subheadChar">
    <w:name w:val="subhead Char"/>
    <w:basedOn w:val="DefaultParagraphFont"/>
    <w:link w:val="subhead"/>
    <w:uiPriority w:val="99"/>
    <w:locked/>
    <w:rsid w:val="00D6535E"/>
    <w:rPr>
      <w:rFonts w:ascii="Arial" w:hAnsi="Arial" w:cs="Arial"/>
      <w:b/>
      <w:noProof/>
      <w:sz w:val="20"/>
      <w:szCs w:val="20"/>
    </w:rPr>
  </w:style>
  <w:style w:type="paragraph" w:customStyle="1" w:styleId="subhead">
    <w:name w:val="subhead"/>
    <w:basedOn w:val="Subheading"/>
    <w:link w:val="subheadChar"/>
    <w:uiPriority w:val="99"/>
    <w:rsid w:val="00D6535E"/>
    <w:rPr>
      <w:rFonts w:eastAsiaTheme="minorHAnsi"/>
      <w:sz w:val="20"/>
      <w:szCs w:val="20"/>
    </w:rPr>
  </w:style>
  <w:style w:type="paragraph" w:customStyle="1" w:styleId="Default">
    <w:name w:val="Default"/>
    <w:rsid w:val="00D6535E"/>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body">
    <w:name w:val="body"/>
    <w:basedOn w:val="Normal"/>
    <w:link w:val="bodyChar"/>
    <w:uiPriority w:val="99"/>
    <w:rsid w:val="00D6535E"/>
    <w:pPr>
      <w:jc w:val="both"/>
    </w:pPr>
    <w:rPr>
      <w:rFonts w:ascii="Arial" w:hAnsi="Arial" w:cs="Arial"/>
      <w:noProof/>
      <w:spacing w:val="-5"/>
      <w:sz w:val="22"/>
      <w:szCs w:val="22"/>
    </w:rPr>
  </w:style>
  <w:style w:type="character" w:customStyle="1" w:styleId="bodyChar">
    <w:name w:val="body Char"/>
    <w:basedOn w:val="DefaultParagraphFont"/>
    <w:link w:val="body"/>
    <w:uiPriority w:val="99"/>
    <w:locked/>
    <w:rsid w:val="00D6535E"/>
    <w:rPr>
      <w:rFonts w:ascii="Arial" w:eastAsia="Times New Roman" w:hAnsi="Arial" w:cs="Arial"/>
      <w:noProof/>
      <w:spacing w:val="-5"/>
    </w:rPr>
  </w:style>
  <w:style w:type="paragraph" w:customStyle="1" w:styleId="introduction">
    <w:name w:val="introduction"/>
    <w:basedOn w:val="Normal"/>
    <w:uiPriority w:val="99"/>
    <w:rsid w:val="00D6535E"/>
    <w:pPr>
      <w:spacing w:before="100" w:beforeAutospacing="1" w:after="100" w:afterAutospacing="1"/>
    </w:pPr>
    <w:rPr>
      <w:lang w:val="en-US"/>
    </w:rPr>
  </w:style>
  <w:style w:type="paragraph" w:styleId="NoSpacing">
    <w:name w:val="No Spacing"/>
    <w:uiPriority w:val="1"/>
    <w:qFormat/>
    <w:rsid w:val="00D653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9B0E-9248-45F8-A70A-A5AB62DF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6849</Words>
  <Characters>39041</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45799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Vennard</dc:creator>
  <cp:lastModifiedBy>Aleksandra Janowicz</cp:lastModifiedBy>
  <cp:revision>2</cp:revision>
  <cp:lastPrinted>2016-02-02T16:14:00Z</cp:lastPrinted>
  <dcterms:created xsi:type="dcterms:W3CDTF">2016-03-04T15:47:00Z</dcterms:created>
  <dcterms:modified xsi:type="dcterms:W3CDTF">2016-03-04T15:47:00Z</dcterms:modified>
</cp:coreProperties>
</file>